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0D644A" w:rsidRPr="00124E56" w:rsidRDefault="000D644A" w:rsidP="000D644A">
      <w:pPr>
        <w:pStyle w:val="ReportHead"/>
        <w:suppressAutoHyphens/>
        <w:rPr>
          <w:i/>
          <w:szCs w:val="28"/>
          <w:u w:val="single"/>
        </w:rPr>
      </w:pPr>
      <w:r w:rsidRPr="00124E56">
        <w:rPr>
          <w:i/>
          <w:szCs w:val="28"/>
          <w:u w:val="single"/>
        </w:rPr>
        <w:t>06.03.01 Биология</w:t>
      </w:r>
    </w:p>
    <w:p w:rsidR="000D644A" w:rsidRPr="00124E56" w:rsidRDefault="000D644A" w:rsidP="000D644A">
      <w:pPr>
        <w:pStyle w:val="ReportHead"/>
        <w:suppressAutoHyphens/>
        <w:rPr>
          <w:szCs w:val="28"/>
          <w:vertAlign w:val="superscript"/>
        </w:rPr>
      </w:pPr>
      <w:r w:rsidRPr="00124E56">
        <w:rPr>
          <w:szCs w:val="28"/>
          <w:vertAlign w:val="superscript"/>
        </w:rPr>
        <w:t>(код и наименование направления подготовки)</w:t>
      </w:r>
    </w:p>
    <w:p w:rsidR="000D644A" w:rsidRPr="00124E56" w:rsidRDefault="000D644A" w:rsidP="000D644A">
      <w:pPr>
        <w:pStyle w:val="ReportHead"/>
        <w:suppressAutoHyphens/>
        <w:rPr>
          <w:i/>
          <w:szCs w:val="28"/>
          <w:u w:val="single"/>
        </w:rPr>
      </w:pPr>
      <w:r w:rsidRPr="00124E56">
        <w:rPr>
          <w:i/>
          <w:szCs w:val="28"/>
          <w:u w:val="single"/>
        </w:rPr>
        <w:t>Биомедицина</w:t>
      </w:r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D4653E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</w:t>
      </w:r>
      <w:bookmarkStart w:id="1" w:name="_GoBack"/>
      <w:bookmarkEnd w:id="1"/>
      <w:r w:rsidR="0013799B">
        <w:rPr>
          <w:i/>
          <w:sz w:val="24"/>
          <w:u w:val="single"/>
        </w:rPr>
        <w:t>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0D644A">
        <w:rPr>
          <w:i/>
          <w:sz w:val="24"/>
          <w:u w:val="single"/>
        </w:rPr>
        <w:t>06.03.01 Биология</w:t>
      </w:r>
      <w:r w:rsidR="000D644A">
        <w:rPr>
          <w:sz w:val="24"/>
        </w:rPr>
        <w:t xml:space="preserve"> 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0D644A" w:rsidRDefault="000D644A" w:rsidP="000D644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0D644A" w:rsidRPr="003616D9" w:rsidTr="009E222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44A" w:rsidRDefault="000D644A" w:rsidP="009E222C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0D644A" w:rsidRPr="003616D9" w:rsidRDefault="000D644A" w:rsidP="009E222C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0D644A" w:rsidRPr="003616D9" w:rsidTr="009E222C">
        <w:tc>
          <w:tcPr>
            <w:tcW w:w="1843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 xml:space="preserve">УК-10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>УК-10-В-1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>УК-10-В-2</w:t>
            </w:r>
            <w:proofErr w:type="gramStart"/>
            <w:r w:rsidRPr="003B1FED">
              <w:t xml:space="preserve"> В</w:t>
            </w:r>
            <w:proofErr w:type="gramEnd"/>
            <w:r w:rsidRPr="003B1FED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>УК-10-В-3</w:t>
            </w:r>
            <w:proofErr w:type="gramStart"/>
            <w:r w:rsidRPr="003B1FED">
              <w:t xml:space="preserve"> П</w:t>
            </w:r>
            <w:proofErr w:type="gramEnd"/>
            <w:r w:rsidRPr="003B1FED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0D644A" w:rsidRPr="003616D9" w:rsidRDefault="000D644A" w:rsidP="009E222C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0D644A" w:rsidRPr="003616D9" w:rsidRDefault="000D644A" w:rsidP="009E222C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0D644A" w:rsidRPr="003616D9" w:rsidRDefault="000D644A" w:rsidP="009E222C">
            <w:pPr>
              <w:pStyle w:val="ReportMain"/>
              <w:suppressAutoHyphens/>
              <w:rPr>
                <w:i/>
              </w:rPr>
            </w:pP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0D644A" w:rsidRPr="003616D9" w:rsidRDefault="000D644A" w:rsidP="009E222C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0D644A" w:rsidRPr="00D877C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0D644A" w:rsidRPr="003616D9" w:rsidTr="009E222C">
        <w:tc>
          <w:tcPr>
            <w:tcW w:w="1843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t xml:space="preserve">УК-11 </w:t>
            </w:r>
            <w:proofErr w:type="gramStart"/>
            <w:r w:rsidRPr="003B1FED">
              <w:t>Способен</w:t>
            </w:r>
            <w:proofErr w:type="gramEnd"/>
            <w:r w:rsidRPr="003B1FED">
              <w:t xml:space="preserve"> формировать нетерпимое отношение к </w:t>
            </w:r>
            <w:r w:rsidRPr="003B1FED">
              <w:lastRenderedPageBreak/>
              <w:t>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0D644A" w:rsidRPr="003B1FED" w:rsidRDefault="000D644A" w:rsidP="009E222C">
            <w:pPr>
              <w:pStyle w:val="ReportMain"/>
              <w:suppressAutoHyphens/>
            </w:pPr>
            <w:r w:rsidRPr="003B1FED">
              <w:lastRenderedPageBreak/>
              <w:t>УК-11-В-1</w:t>
            </w:r>
            <w:proofErr w:type="gramStart"/>
            <w:r w:rsidRPr="003B1FED">
              <w:t xml:space="preserve"> П</w:t>
            </w:r>
            <w:proofErr w:type="gramEnd"/>
            <w:r w:rsidRPr="003B1FED">
              <w:t xml:space="preserve">онимает сущность и различает формы коррупционного поведения, его взаимосвязь </w:t>
            </w:r>
            <w:r w:rsidRPr="003B1FED">
              <w:lastRenderedPageBreak/>
              <w:t>с социальными, экономическими, политическими и иными условиями, его негативные последствия</w:t>
            </w: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lastRenderedPageBreak/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 xml:space="preserve">его взаимосвязь с </w:t>
            </w:r>
            <w:r w:rsidRPr="001E5F6A">
              <w:lastRenderedPageBreak/>
              <w:t>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0D644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Вопросы для опроса.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0D644A" w:rsidRPr="00B930E7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</w:tc>
      </w:tr>
      <w:tr w:rsidR="000D644A" w:rsidRPr="003616D9" w:rsidTr="009E222C">
        <w:tc>
          <w:tcPr>
            <w:tcW w:w="1843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0D644A" w:rsidRPr="003616D9" w:rsidRDefault="000D644A" w:rsidP="009E222C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0D644A" w:rsidRPr="0061442F" w:rsidRDefault="000D644A" w:rsidP="009E222C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0D644A" w:rsidRPr="00D877CA" w:rsidRDefault="000D644A" w:rsidP="009E222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0D644A" w:rsidRPr="003616D9" w:rsidRDefault="000D644A" w:rsidP="009E222C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0D644A" w:rsidRDefault="000D644A" w:rsidP="000D644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lastRenderedPageBreak/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lastRenderedPageBreak/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lastRenderedPageBreak/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4F41AC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вид деятельности, несвязанной с риском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4F41AC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lastRenderedPageBreak/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4F41AC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4F41AC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</w:t>
      </w:r>
      <w:r w:rsidR="00C41853" w:rsidRPr="00063CC1">
        <w:rPr>
          <w:sz w:val="24"/>
          <w:szCs w:val="24"/>
        </w:rPr>
        <w:lastRenderedPageBreak/>
        <w:t xml:space="preserve">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lastRenderedPageBreak/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0D644A" w:rsidRPr="00063CC1" w:rsidRDefault="000D644A" w:rsidP="000D644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0D644A" w:rsidRPr="00063CC1" w:rsidRDefault="000D644A" w:rsidP="000D644A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0D644A" w:rsidRPr="00063CC1" w:rsidRDefault="000D644A" w:rsidP="000D644A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Примерные в</w:t>
      </w:r>
      <w:r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производства. Цена ресурсов. Граница производственных возможностей и экономическое развитие общества.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</w:t>
            </w:r>
            <w:r w:rsidRPr="001428F9">
              <w:rPr>
                <w:szCs w:val="24"/>
              </w:rPr>
              <w:lastRenderedPageBreak/>
              <w:t>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3. Правильность и/или аргументированность изложения (последовательность </w:t>
            </w:r>
            <w:r w:rsidRPr="00823E7C">
              <w:rPr>
                <w:szCs w:val="24"/>
              </w:rPr>
              <w:lastRenderedPageBreak/>
              <w:t>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lastRenderedPageBreak/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0D644A" w:rsidRPr="005B1995" w:rsidRDefault="000D644A" w:rsidP="000D644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Pr="005B1995">
        <w:rPr>
          <w:b/>
          <w:sz w:val="24"/>
          <w:szCs w:val="24"/>
        </w:rPr>
        <w:t>:</w:t>
      </w:r>
      <w:r w:rsidRPr="005B1995">
        <w:rPr>
          <w:sz w:val="24"/>
          <w:szCs w:val="24"/>
        </w:rPr>
        <w:t xml:space="preserve"> </w:t>
      </w:r>
    </w:p>
    <w:p w:rsidR="000D644A" w:rsidRDefault="000D644A" w:rsidP="000D644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</w:t>
      </w:r>
      <w:r>
        <w:rPr>
          <w:sz w:val="24"/>
          <w:szCs w:val="24"/>
        </w:rPr>
        <w:t xml:space="preserve"> дифференцированного зачета</w:t>
      </w:r>
      <w:r w:rsidRPr="005B1995">
        <w:rPr>
          <w:sz w:val="24"/>
          <w:szCs w:val="24"/>
        </w:rPr>
        <w:t xml:space="preserve">. </w:t>
      </w:r>
      <w:r>
        <w:rPr>
          <w:sz w:val="24"/>
          <w:szCs w:val="24"/>
        </w:rPr>
        <w:t>Дифференцированный зачет</w:t>
      </w:r>
      <w:r w:rsidRPr="005B1995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0D644A" w:rsidRDefault="000D644A" w:rsidP="000D644A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 может быть проведен по тестам в Универсальной системе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стирования БГТИ. </w:t>
      </w:r>
      <w:r w:rsidRPr="00063CC1">
        <w:rPr>
          <w:sz w:val="24"/>
          <w:szCs w:val="24"/>
        </w:rPr>
        <w:t xml:space="preserve">Тестовые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 xml:space="preserve">0 минут.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16" w:rsidRDefault="00D61D16" w:rsidP="00DC3BDA">
      <w:pPr>
        <w:spacing w:after="0" w:line="240" w:lineRule="auto"/>
      </w:pPr>
      <w:r>
        <w:separator/>
      </w:r>
    </w:p>
  </w:endnote>
  <w:endnote w:type="continuationSeparator" w:id="0">
    <w:p w:rsidR="00D61D16" w:rsidRDefault="00D61D16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4653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16" w:rsidRDefault="00D61D16" w:rsidP="00DC3BDA">
      <w:pPr>
        <w:spacing w:after="0" w:line="240" w:lineRule="auto"/>
      </w:pPr>
      <w:r>
        <w:separator/>
      </w:r>
    </w:p>
  </w:footnote>
  <w:footnote w:type="continuationSeparator" w:id="0">
    <w:p w:rsidR="00D61D16" w:rsidRDefault="00D61D16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86905"/>
    <w:rsid w:val="000D644A"/>
    <w:rsid w:val="000E4EF4"/>
    <w:rsid w:val="000F7BBA"/>
    <w:rsid w:val="0013202F"/>
    <w:rsid w:val="0013799B"/>
    <w:rsid w:val="00230842"/>
    <w:rsid w:val="002B4A8F"/>
    <w:rsid w:val="002C65A4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4F41AC"/>
    <w:rsid w:val="005173B4"/>
    <w:rsid w:val="00557AF1"/>
    <w:rsid w:val="005A0864"/>
    <w:rsid w:val="00614260"/>
    <w:rsid w:val="006202A0"/>
    <w:rsid w:val="006B3F8C"/>
    <w:rsid w:val="00740E91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5412A"/>
    <w:rsid w:val="00C960F0"/>
    <w:rsid w:val="00D4653E"/>
    <w:rsid w:val="00D60E79"/>
    <w:rsid w:val="00D61D16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011C-069F-4473-A69C-F3E8AEDC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13259</Words>
  <Characters>75581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3</cp:revision>
  <dcterms:created xsi:type="dcterms:W3CDTF">2022-03-09T08:56:00Z</dcterms:created>
  <dcterms:modified xsi:type="dcterms:W3CDTF">2022-03-09T08:58:00Z</dcterms:modified>
</cp:coreProperties>
</file>