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Минобрнауки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665EB9">
        <w:rPr>
          <w:rFonts w:ascii="Times New Roman" w:eastAsia="Arial Unicode MS" w:hAnsi="Times New Roman" w:cs="Times New Roman"/>
          <w:sz w:val="24"/>
          <w:szCs w:val="24"/>
          <w:lang w:eastAsia="ru-RU"/>
        </w:rPr>
        <w:t>юриспруденции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«Б.1.В.ОД.9 Правоохранительные органы»</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r w:rsidR="00665EB9">
        <w:rPr>
          <w:rFonts w:ascii="Times New Roman" w:eastAsia="Arial Unicode MS" w:hAnsi="Times New Roman" w:cs="Times New Roman"/>
          <w:i/>
          <w:sz w:val="24"/>
          <w:szCs w:val="24"/>
          <w:u w:val="single"/>
          <w:lang w:eastAsia="ru-RU"/>
        </w:rPr>
        <w:t>, очно-заочная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B113B6"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B113B6">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65EB9">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65EB9">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r w:rsidR="00C72F9B">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3.1 </w:t>
            </w:r>
            <w:r w:rsidR="00C72F9B">
              <w:rPr>
                <w:sz w:val="24"/>
                <w:szCs w:val="24"/>
              </w:rPr>
              <w:t>Планы практических занятий для обучающихся очной формы обучения………</w:t>
            </w:r>
          </w:p>
        </w:tc>
        <w:tc>
          <w:tcPr>
            <w:tcW w:w="703" w:type="dxa"/>
          </w:tcPr>
          <w:p w:rsidR="00665EB9" w:rsidRDefault="00C72F9B"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3.2 </w:t>
            </w:r>
            <w:r w:rsidR="00C72F9B" w:rsidRPr="00C72F9B">
              <w:rPr>
                <w:sz w:val="24"/>
                <w:szCs w:val="24"/>
              </w:rPr>
              <w:t xml:space="preserve">Планы практических занятий для обучающихся </w:t>
            </w:r>
            <w:r w:rsidR="00C72F9B">
              <w:rPr>
                <w:sz w:val="24"/>
                <w:szCs w:val="24"/>
              </w:rPr>
              <w:t>за</w:t>
            </w:r>
            <w:r w:rsidR="00C72F9B" w:rsidRPr="00C72F9B">
              <w:rPr>
                <w:sz w:val="24"/>
                <w:szCs w:val="24"/>
              </w:rPr>
              <w:t>очной формы обучения</w:t>
            </w:r>
            <w:r w:rsidR="00C72F9B">
              <w:rPr>
                <w:sz w:val="24"/>
                <w:szCs w:val="24"/>
              </w:rPr>
              <w:t>……</w:t>
            </w:r>
          </w:p>
        </w:tc>
        <w:tc>
          <w:tcPr>
            <w:tcW w:w="703" w:type="dxa"/>
          </w:tcPr>
          <w:p w:rsidR="00665EB9" w:rsidRDefault="00B113B6" w:rsidP="003650B5">
            <w:pPr>
              <w:jc w:val="right"/>
              <w:rPr>
                <w:sz w:val="24"/>
                <w:szCs w:val="24"/>
              </w:rPr>
            </w:pPr>
            <w:r>
              <w:rPr>
                <w:sz w:val="24"/>
                <w:szCs w:val="24"/>
              </w:rPr>
              <w:t>15</w:t>
            </w:r>
          </w:p>
        </w:tc>
      </w:tr>
      <w:tr w:rsidR="00665EB9" w:rsidRPr="007F0A49" w:rsidTr="00E74969">
        <w:tc>
          <w:tcPr>
            <w:tcW w:w="8755" w:type="dxa"/>
          </w:tcPr>
          <w:p w:rsidR="00665EB9" w:rsidRDefault="00665EB9" w:rsidP="00C72F9B">
            <w:pPr>
              <w:jc w:val="both"/>
              <w:rPr>
                <w:sz w:val="24"/>
                <w:szCs w:val="24"/>
              </w:rPr>
            </w:pPr>
            <w:r>
              <w:rPr>
                <w:sz w:val="24"/>
                <w:szCs w:val="24"/>
              </w:rPr>
              <w:t xml:space="preserve">3.3 </w:t>
            </w:r>
            <w:r w:rsidR="00C72F9B" w:rsidRPr="00C72F9B">
              <w:rPr>
                <w:sz w:val="24"/>
                <w:szCs w:val="24"/>
              </w:rPr>
              <w:t>Планы практических занятий для обучающихся очно</w:t>
            </w:r>
            <w:r w:rsidR="00C72F9B">
              <w:rPr>
                <w:sz w:val="24"/>
                <w:szCs w:val="24"/>
              </w:rPr>
              <w:t>-заочной</w:t>
            </w:r>
            <w:r w:rsidR="00C72F9B" w:rsidRPr="00C72F9B">
              <w:rPr>
                <w:sz w:val="24"/>
                <w:szCs w:val="24"/>
              </w:rPr>
              <w:t xml:space="preserve"> формы обучения</w:t>
            </w:r>
          </w:p>
        </w:tc>
        <w:tc>
          <w:tcPr>
            <w:tcW w:w="703" w:type="dxa"/>
          </w:tcPr>
          <w:p w:rsidR="00665EB9" w:rsidRDefault="00B113B6" w:rsidP="003650B5">
            <w:pPr>
              <w:jc w:val="right"/>
              <w:rPr>
                <w:sz w:val="24"/>
                <w:szCs w:val="24"/>
              </w:rPr>
            </w:pPr>
            <w:r>
              <w:rPr>
                <w:sz w:val="24"/>
                <w:szCs w:val="24"/>
              </w:rPr>
              <w:t>17</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20</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22</w:t>
            </w:r>
            <w:bookmarkStart w:id="0" w:name="_GoBack"/>
            <w:bookmarkEnd w:id="0"/>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B113B6" w:rsidRPr="007F0A49" w:rsidRDefault="00B113B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3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6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6.3</w:t>
      </w:r>
      <w:r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6.9 Организация работы в Верховном Суде РФ. Аппарат суда</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8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8.1 Мировые судьи: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8.2 Конституционные (уставные) суды субъектов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9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9.4 Материальное и социальное обеспечение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9.5 Дисциплинарная ответственность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9.6 Содержание права граждан на осуществление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9.7 Правовый статус присяжных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10 Органы судейского сообщества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10.2</w:t>
      </w:r>
      <w:r w:rsidRPr="00382AD1">
        <w:rPr>
          <w:rFonts w:ascii="Times New Roman" w:eastAsia="Times New Roman" w:hAnsi="Times New Roman" w:cs="Times New Roman"/>
          <w:sz w:val="24"/>
          <w:szCs w:val="24"/>
          <w:lang w:eastAsia="ru-RU"/>
        </w:rPr>
        <w:tab/>
        <w:t>Порядок их образования 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13 Органы обеспечения безопасности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13.3 Система органов внутренних дел: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13.4 Деловая игра «Способы обеспечения соблюдения законодательства, применяемые правоохранительными органами»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14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14.1 Понятие и задачи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14.2</w:t>
      </w:r>
      <w:r w:rsidRPr="00382AD1">
        <w:rPr>
          <w:rFonts w:ascii="Times New Roman" w:eastAsia="Times New Roman" w:hAnsi="Times New Roman" w:cs="Times New Roman"/>
          <w:sz w:val="24"/>
          <w:szCs w:val="24"/>
          <w:lang w:eastAsia="ru-RU"/>
        </w:rPr>
        <w:tab/>
        <w:t>Формы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14.5 Следственный комитет РФ: структура,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14.6 Оперативно-розыскная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15: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7123B9"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1 </w:t>
      </w:r>
      <w:r w:rsidR="007123B9">
        <w:rPr>
          <w:rFonts w:ascii="Times New Roman" w:eastAsia="Times New Roman" w:hAnsi="Times New Roman" w:cs="Times New Roman"/>
          <w:sz w:val="24"/>
          <w:szCs w:val="24"/>
          <w:lang w:eastAsia="ru-RU"/>
        </w:rPr>
        <w:t>«</w:t>
      </w:r>
      <w:r w:rsidR="007123B9" w:rsidRPr="007123B9">
        <w:rPr>
          <w:rFonts w:ascii="Times New Roman" w:eastAsia="Times New Roman" w:hAnsi="Times New Roman" w:cs="Times New Roman"/>
          <w:sz w:val="24"/>
          <w:szCs w:val="24"/>
          <w:lang w:eastAsia="ru-RU"/>
        </w:rPr>
        <w:t>Правоохранительная деятельность и правоохранительные органы</w:t>
      </w:r>
      <w:r w:rsidR="007123B9">
        <w:rPr>
          <w:rFonts w:ascii="Times New Roman" w:eastAsia="Times New Roman" w:hAnsi="Times New Roman" w:cs="Times New Roman"/>
          <w:sz w:val="24"/>
          <w:szCs w:val="24"/>
          <w:lang w:eastAsia="ru-RU"/>
        </w:rPr>
        <w:t>»</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«Арбитражные суды»</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w:t>
      </w:r>
      <w:r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w:t>
      </w:r>
      <w:r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w:t>
      </w:r>
      <w:r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w:t>
      </w:r>
      <w:r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w:t>
      </w:r>
      <w:r w:rsidRPr="007F0A49">
        <w:rPr>
          <w:rFonts w:ascii="Times New Roman" w:eastAsia="Times New Roman" w:hAnsi="Times New Roman" w:cs="Times New Roman"/>
          <w:sz w:val="24"/>
          <w:szCs w:val="24"/>
          <w:lang w:eastAsia="ru-RU"/>
        </w:rPr>
        <w:tab/>
        <w:t>Система органов прокуратуры и их организация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«Органы обеспечения безопасности, выявления и расследования преступлений»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 Следственный комитет РФ: структура, компетенция.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7123B9">
        <w:rPr>
          <w:rFonts w:ascii="Times New Roman" w:eastAsia="Times New Roman" w:hAnsi="Times New Roman" w:cs="Times New Roman"/>
          <w:sz w:val="24"/>
          <w:szCs w:val="24"/>
          <w:lang w:eastAsia="ru-RU"/>
        </w:rPr>
        <w:t>Правоохранительная деятельность, осуществляемая таможенными органами и органами государственной охраны</w:t>
      </w:r>
      <w:r>
        <w:rPr>
          <w:rFonts w:ascii="Times New Roman" w:eastAsia="Times New Roman" w:hAnsi="Times New Roman" w:cs="Times New Roman"/>
          <w:sz w:val="24"/>
          <w:szCs w:val="24"/>
          <w:lang w:eastAsia="ru-RU"/>
        </w:rPr>
        <w:t>»</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7123B9" w:rsidRDefault="007123B9" w:rsidP="001B4A7D">
      <w:pPr>
        <w:spacing w:after="0" w:line="240" w:lineRule="auto"/>
        <w:ind w:firstLine="709"/>
        <w:jc w:val="both"/>
        <w:rPr>
          <w:rFonts w:ascii="Times New Roman" w:eastAsia="Times New Roman" w:hAnsi="Times New Roman" w:cs="Times New Roman"/>
          <w:i/>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7</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665EB9" w:rsidRPr="00665EB9" w:rsidRDefault="00665EB9" w:rsidP="001B4A7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665EB9">
        <w:rPr>
          <w:rFonts w:ascii="Times New Roman" w:eastAsia="Times New Roman" w:hAnsi="Times New Roman" w:cs="Times New Roman"/>
          <w:b/>
          <w:sz w:val="24"/>
          <w:szCs w:val="24"/>
          <w:lang w:eastAsia="ru-RU"/>
        </w:rPr>
        <w:t xml:space="preserve"> Планы практических занятий для обучающихся </w:t>
      </w:r>
      <w:r>
        <w:rPr>
          <w:rFonts w:ascii="Times New Roman" w:eastAsia="Times New Roman" w:hAnsi="Times New Roman" w:cs="Times New Roman"/>
          <w:b/>
          <w:sz w:val="24"/>
          <w:szCs w:val="24"/>
          <w:lang w:eastAsia="ru-RU"/>
        </w:rPr>
        <w:t>очно-</w:t>
      </w:r>
      <w:r w:rsidRPr="00665EB9">
        <w:rPr>
          <w:rFonts w:ascii="Times New Roman" w:eastAsia="Times New Roman" w:hAnsi="Times New Roman" w:cs="Times New Roman"/>
          <w:b/>
          <w:sz w:val="24"/>
          <w:szCs w:val="24"/>
          <w:lang w:eastAsia="ru-RU"/>
        </w:rPr>
        <w:t>заочной формы обучения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665EB9">
        <w:rPr>
          <w:rFonts w:ascii="Times New Roman" w:eastAsia="Times New Roman" w:hAnsi="Times New Roman" w:cs="Times New Roman"/>
          <w:sz w:val="24"/>
          <w:szCs w:val="24"/>
          <w:lang w:eastAsia="ru-RU"/>
        </w:rPr>
        <w:t>Суды общей юрисдикции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Общее представление о судебной системе. Система федеральных судов. Суды субъектов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Районный суд: место в системе судов общей юрисдикции, состав районного суда, полномочия (компетенция).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Верховный суд республики в составе РФ, краевой, областной суд, суды городов федерального значения, автономной области и автономных округов: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Военные суды 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665EB9">
        <w:rPr>
          <w:rFonts w:ascii="Times New Roman" w:eastAsia="Times New Roman" w:hAnsi="Times New Roman" w:cs="Times New Roman"/>
          <w:sz w:val="24"/>
          <w:szCs w:val="24"/>
          <w:lang w:eastAsia="ru-RU"/>
        </w:rPr>
        <w:t xml:space="preserve">Мировые судьи: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место в судебной системе РФ,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lastRenderedPageBreak/>
        <w:t>-</w:t>
      </w:r>
      <w:r w:rsidRPr="00665EB9">
        <w:rPr>
          <w:rFonts w:ascii="Times New Roman" w:eastAsia="Times New Roman" w:hAnsi="Times New Roman" w:cs="Times New Roman"/>
          <w:sz w:val="24"/>
          <w:szCs w:val="24"/>
          <w:lang w:eastAsia="ru-RU"/>
        </w:rPr>
        <w:tab/>
        <w:t xml:space="preserve">порядок назначения (избрания), компетенция.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надзор вышестоящих судов</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за деятельностью мировых судей</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665EB9">
        <w:rPr>
          <w:rFonts w:ascii="Times New Roman" w:eastAsia="Times New Roman" w:hAnsi="Times New Roman" w:cs="Times New Roman"/>
          <w:sz w:val="24"/>
          <w:szCs w:val="24"/>
          <w:lang w:eastAsia="ru-RU"/>
        </w:rPr>
        <w:t>Арбитражные суды</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 xml:space="preserve">.1 Место арбитражных судов в судебной системе.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Задачи и принципы деятельности и система арбитражных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Арбитражные суды субъектов РФ: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Апелляционные арбитражные суды: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Состав, порядок формирования и полномочия федеральных арбитражных судов округов.</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Специализированные арбитражные суды: состав, порядок формирования, полномочия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665EB9">
        <w:rPr>
          <w:rFonts w:ascii="Times New Roman" w:eastAsia="Times New Roman" w:hAnsi="Times New Roman" w:cs="Times New Roman"/>
          <w:sz w:val="24"/>
          <w:szCs w:val="24"/>
          <w:lang w:eastAsia="ru-RU"/>
        </w:rPr>
        <w:t>Верховный Суд Российской Федерации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Структура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.9 Организация работы в Верховном Суде РФ. Аппарат суда</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665EB9">
        <w:rPr>
          <w:rFonts w:ascii="Times New Roman" w:eastAsia="Times New Roman" w:hAnsi="Times New Roman" w:cs="Times New Roman"/>
          <w:sz w:val="24"/>
          <w:szCs w:val="24"/>
          <w:lang w:eastAsia="ru-RU"/>
        </w:rPr>
        <w:t>Правовой статус судей, присяжных и арбитражных заседателей</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Материальное и социальное обеспечение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Дисциплинарная ответственность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 Правовый статус присяжных заседателей</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 Правовой статус арбитражных заседателей</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665EB9">
        <w:rPr>
          <w:rFonts w:ascii="Times New Roman" w:eastAsia="Times New Roman" w:hAnsi="Times New Roman" w:cs="Times New Roman"/>
          <w:sz w:val="24"/>
          <w:szCs w:val="24"/>
          <w:lang w:eastAsia="ru-RU"/>
        </w:rPr>
        <w:t>Прокуратура Российской Федерации и прокурорский надзор</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82AD1">
        <w:rPr>
          <w:rFonts w:ascii="Times New Roman" w:eastAsia="Times New Roman" w:hAnsi="Times New Roman" w:cs="Times New Roman"/>
          <w:sz w:val="24"/>
          <w:szCs w:val="24"/>
          <w:lang w:eastAsia="ru-RU"/>
        </w:rPr>
        <w:t>Прокуратура: понятие, задачи, принципы деятельности, правовое регулирование</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w:t>
      </w:r>
      <w:r w:rsidRPr="00382AD1">
        <w:rPr>
          <w:rFonts w:ascii="Times New Roman" w:eastAsia="Times New Roman" w:hAnsi="Times New Roman" w:cs="Times New Roman"/>
          <w:sz w:val="24"/>
          <w:szCs w:val="24"/>
          <w:lang w:eastAsia="ru-RU"/>
        </w:rPr>
        <w:tab/>
        <w:t>Иные полномочия прокурора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665EB9">
        <w:rPr>
          <w:rFonts w:ascii="Times New Roman" w:eastAsia="Times New Roman" w:hAnsi="Times New Roman" w:cs="Times New Roman"/>
          <w:sz w:val="24"/>
          <w:szCs w:val="24"/>
          <w:lang w:eastAsia="ru-RU"/>
        </w:rPr>
        <w:t>Органы обеспечения безопасности</w:t>
      </w:r>
      <w:r>
        <w:rPr>
          <w:rFonts w:ascii="Times New Roman" w:eastAsia="Times New Roman" w:hAnsi="Times New Roman" w:cs="Times New Roman"/>
          <w:sz w:val="24"/>
          <w:szCs w:val="24"/>
          <w:lang w:eastAsia="ru-RU"/>
        </w:rPr>
        <w:t>»</w:t>
      </w: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Система органов внутренних дел: </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C72F9B">
        <w:rPr>
          <w:rFonts w:ascii="Times New Roman" w:eastAsia="Times New Roman" w:hAnsi="Times New Roman" w:cs="Times New Roman"/>
          <w:sz w:val="24"/>
          <w:szCs w:val="24"/>
          <w:lang w:eastAsia="ru-RU"/>
        </w:rPr>
        <w:t>Органы выявления и расследования преступлений</w:t>
      </w:r>
      <w:r>
        <w:rPr>
          <w:rFonts w:ascii="Times New Roman" w:eastAsia="Times New Roman" w:hAnsi="Times New Roman" w:cs="Times New Roman"/>
          <w:sz w:val="24"/>
          <w:szCs w:val="24"/>
          <w:lang w:eastAsia="ru-RU"/>
        </w:rPr>
        <w:t>»</w:t>
      </w:r>
    </w:p>
    <w:p w:rsid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и задачи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Формы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Правовое положение и процессуальная самостоятельность следователя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Следственный комитет РФ: структура, компетенция.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Оперативно-розыскная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C72F9B">
        <w:rPr>
          <w:rFonts w:ascii="Times New Roman" w:eastAsia="Times New Roman" w:hAnsi="Times New Roman" w:cs="Times New Roman"/>
          <w:sz w:val="24"/>
          <w:szCs w:val="24"/>
          <w:lang w:eastAsia="ru-RU"/>
        </w:rPr>
        <w:t>Частная детективная и охранная деятельность</w:t>
      </w:r>
      <w:r>
        <w:rPr>
          <w:rFonts w:ascii="Times New Roman" w:eastAsia="Times New Roman" w:hAnsi="Times New Roman" w:cs="Times New Roman"/>
          <w:sz w:val="24"/>
          <w:szCs w:val="24"/>
          <w:lang w:eastAsia="ru-RU"/>
        </w:rPr>
        <w:t>»</w:t>
      </w:r>
    </w:p>
    <w:p w:rsidR="00C72F9B"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82AD1">
        <w:rPr>
          <w:rFonts w:ascii="Times New Roman" w:eastAsia="Times New Roman" w:hAnsi="Times New Roman" w:cs="Times New Roman"/>
          <w:sz w:val="24"/>
          <w:szCs w:val="24"/>
          <w:lang w:eastAsia="ru-RU"/>
        </w:rPr>
        <w:t>Виды охранных и сыскных услуг</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 Частная охранная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 xml:space="preserve"> Требования к частным охранным организациям и учреждениям по подготовке частных детективов и работников частных охранных организаций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1.5 Применение физической силы, специальных средств и огнестрельного оружия при осуществлении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Контроль и надзор за частной детективной и охранной деятельностью</w:t>
      </w:r>
    </w:p>
    <w:p w:rsidR="00665EB9" w:rsidRPr="007F0A4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Предмет и система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правоохранительных органов.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Нормативные правовые акты, регулирующие правоохранительную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Судебная система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судопроизводств. Судебная инстанция.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гарантии в области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законности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независимости судей 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осуществления правосудия только судом и его значение.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презумпции невиновности,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гласности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охраны чести и достоинства личности и его реализация.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участия граждан в осуществлении правосудия, условия его реализации.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Районные суды: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Полномочия, правовой статус мирового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Военные суды в Российской Федерации: понятие, система,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системы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Задачи и компетенция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судье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наделения полномочиями судьи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Основания прекращения и приостановления полномочий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структура органов судейского сообщества.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формирования квалификационных коллегий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и структура органов внутренних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Полиция: правовые основы деятельности, структура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Основы обеспечения безопасности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задачи и формы предварительного расследования.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предварительного следствия. Подследственность уголовных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осуществляющие дознание, их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Система органов и учреждений прокуратуры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Функции и направления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Военная прокуратура: система органов,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Специализированные прокуратуры: виды 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Юридические услуги и их виды.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Адвокатура: понятие, правовые основы деятельности, принципы.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адвоката.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Адвокатские образования и их формы.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Взаимодействие адвокатских образований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правовые основы нотариата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нотариуса.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нотариальных действий.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охранных и сыскных услуг.</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предоставления лицензий частным детективам.</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Правовой статус частного охранника. </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Правоохранительные органы зарубежных стран: общая характеристика, особенности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продемонстрировано глубокое </w:t>
            </w:r>
            <w:r w:rsidRPr="007F0A49">
              <w:rPr>
                <w:rFonts w:eastAsia="Calibri"/>
                <w:sz w:val="24"/>
                <w:szCs w:val="24"/>
                <w:lang w:eastAsia="en-US"/>
              </w:rPr>
              <w:lastRenderedPageBreak/>
              <w:t>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формулирует полный </w:t>
            </w:r>
            <w:r w:rsidRPr="007F0A49">
              <w:rPr>
                <w:rFonts w:eastAsia="Calibri"/>
                <w:sz w:val="24"/>
                <w:szCs w:val="24"/>
                <w:lang w:eastAsia="en-US"/>
              </w:rPr>
              <w:lastRenderedPageBreak/>
              <w:t>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продемонстрировано знание только </w:t>
            </w:r>
            <w:r w:rsidRPr="007F0A49">
              <w:rPr>
                <w:rFonts w:eastAsia="Calibri"/>
                <w:sz w:val="24"/>
                <w:szCs w:val="24"/>
                <w:lang w:eastAsia="en-US"/>
              </w:rPr>
              <w:lastRenderedPageBreak/>
              <w:t>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не способен сформулироват</w:t>
            </w:r>
            <w:r w:rsidRPr="007F0A49">
              <w:rPr>
                <w:rFonts w:eastAsia="Calibri"/>
                <w:sz w:val="24"/>
                <w:szCs w:val="24"/>
                <w:lang w:eastAsia="en-US"/>
              </w:rPr>
              <w:lastRenderedPageBreak/>
              <w:t>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готов к участию в деловой игре, испытывает затруднения  при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к действующему  законодательству,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sectPr w:rsidR="00E11F45" w:rsidRPr="007F0A49"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50" w:rsidRDefault="00E53750" w:rsidP="009B17D9">
      <w:pPr>
        <w:spacing w:after="0" w:line="240" w:lineRule="auto"/>
      </w:pPr>
      <w:r>
        <w:separator/>
      </w:r>
    </w:p>
  </w:endnote>
  <w:endnote w:type="continuationSeparator" w:id="0">
    <w:p w:rsidR="00E53750" w:rsidRDefault="00E53750"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665EB9" w:rsidRPr="003650B5" w:rsidRDefault="00665EB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113B6">
          <w:rPr>
            <w:rFonts w:ascii="Times New Roman" w:hAnsi="Times New Roman" w:cs="Times New Roman"/>
            <w:noProof/>
          </w:rPr>
          <w:t>24</w:t>
        </w:r>
        <w:r w:rsidRPr="003650B5">
          <w:rPr>
            <w:rFonts w:ascii="Times New Roman" w:hAnsi="Times New Roman" w:cs="Times New Roman"/>
          </w:rPr>
          <w:fldChar w:fldCharType="end"/>
        </w:r>
      </w:p>
    </w:sdtContent>
  </w:sdt>
  <w:p w:rsidR="00665EB9" w:rsidRDefault="00665E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50" w:rsidRDefault="00E53750" w:rsidP="009B17D9">
      <w:pPr>
        <w:spacing w:after="0" w:line="240" w:lineRule="auto"/>
      </w:pPr>
      <w:r>
        <w:separator/>
      </w:r>
    </w:p>
  </w:footnote>
  <w:footnote w:type="continuationSeparator" w:id="0">
    <w:p w:rsidR="00E53750" w:rsidRDefault="00E53750" w:rsidP="009B17D9">
      <w:pPr>
        <w:spacing w:after="0" w:line="240" w:lineRule="auto"/>
      </w:pPr>
      <w:r>
        <w:continuationSeparator/>
      </w:r>
    </w:p>
  </w:footnote>
  <w:footnote w:id="1">
    <w:p w:rsidR="00665EB9" w:rsidRPr="007123B9" w:rsidRDefault="00665EB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665EB9"/>
    <w:rsid w:val="007123B9"/>
    <w:rsid w:val="00713429"/>
    <w:rsid w:val="00715AB5"/>
    <w:rsid w:val="007300BB"/>
    <w:rsid w:val="007920B7"/>
    <w:rsid w:val="007F0A49"/>
    <w:rsid w:val="008051AC"/>
    <w:rsid w:val="00805BAB"/>
    <w:rsid w:val="0081349A"/>
    <w:rsid w:val="00823D77"/>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113B6"/>
    <w:rsid w:val="00B43354"/>
    <w:rsid w:val="00B652FF"/>
    <w:rsid w:val="00B847D9"/>
    <w:rsid w:val="00B8525B"/>
    <w:rsid w:val="00B902DF"/>
    <w:rsid w:val="00B90A9F"/>
    <w:rsid w:val="00BD32AA"/>
    <w:rsid w:val="00BE7D85"/>
    <w:rsid w:val="00C049A2"/>
    <w:rsid w:val="00C06009"/>
    <w:rsid w:val="00C72F9B"/>
    <w:rsid w:val="00C76B64"/>
    <w:rsid w:val="00C803E6"/>
    <w:rsid w:val="00C82A6D"/>
    <w:rsid w:val="00CB00A9"/>
    <w:rsid w:val="00D23CC9"/>
    <w:rsid w:val="00D4751D"/>
    <w:rsid w:val="00DD5D17"/>
    <w:rsid w:val="00E11F45"/>
    <w:rsid w:val="00E53750"/>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CE6B-AFB4-463C-816C-8A486057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2019-10-15T08:53:00Z</cp:lastPrinted>
  <dcterms:created xsi:type="dcterms:W3CDTF">2017-09-06T11:35:00Z</dcterms:created>
  <dcterms:modified xsi:type="dcterms:W3CDTF">2019-10-28T02:15:00Z</dcterms:modified>
</cp:coreProperties>
</file>