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Кафедра гражданского права и процесса</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532615"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3181F">
        <w:rPr>
          <w:rFonts w:ascii="Times New Roman" w:eastAsia="Calibri" w:hAnsi="Times New Roman" w:cs="Times New Roman"/>
          <w:sz w:val="24"/>
          <w:szCs w:val="24"/>
          <w:u w:val="single"/>
        </w:rPr>
        <w:t>гражданского права и процесса</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BA" w:rsidRPr="00D3181F">
        <w:rPr>
          <w:rFonts w:ascii="Times New Roman" w:eastAsia="Calibri" w:hAnsi="Times New Roman" w:cs="Times New Roman"/>
          <w:sz w:val="24"/>
          <w:szCs w:val="24"/>
          <w:u w:val="single"/>
        </w:rPr>
        <w:t xml:space="preserve">9 от 13.03.2017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0"/>
        <w:gridCol w:w="5210"/>
        <w:gridCol w:w="2193"/>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153DD3">
        <w:trPr>
          <w:trHeight w:val="1005"/>
        </w:trPr>
        <w:tc>
          <w:tcPr>
            <w:tcW w:w="1084" w:type="pct"/>
            <w:vMerge w:val="restart"/>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153DD3">
        <w:trPr>
          <w:trHeight w:val="306"/>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w:t>
            </w:r>
            <w:r w:rsidR="00592D78">
              <w:rPr>
                <w:rFonts w:ascii="Times New Roman" w:eastAsia="Times New Roman" w:hAnsi="Times New Roman" w:cs="Times New Roman"/>
                <w:sz w:val="24"/>
                <w:szCs w:val="24"/>
                <w:lang w:eastAsia="ru-RU"/>
              </w:rPr>
              <w:t>еские задачи</w:t>
            </w:r>
            <w:r>
              <w:rPr>
                <w:rFonts w:ascii="Times New Roman" w:eastAsia="Times New Roman" w:hAnsi="Times New Roman" w:cs="Times New Roman"/>
                <w:sz w:val="24"/>
                <w:szCs w:val="24"/>
                <w:lang w:eastAsia="ru-RU"/>
              </w:rPr>
              <w:t>;</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153DD3">
        <w:trPr>
          <w:trHeight w:val="1980"/>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970033" w:rsidRDefault="00970033" w:rsidP="004D547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w:t>
            </w:r>
            <w:r w:rsidRPr="00D3181F">
              <w:rPr>
                <w:rFonts w:ascii="Times New Roman" w:eastAsia="Times New Roman" w:hAnsi="Times New Roman" w:cs="Times New Roman"/>
                <w:sz w:val="24"/>
                <w:szCs w:val="24"/>
                <w:lang w:eastAsia="ru-RU"/>
              </w:rPr>
              <w:lastRenderedPageBreak/>
              <w:t>принципы, нормы международного права и международные договоры Российской Федерации</w:t>
            </w: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7003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lastRenderedPageBreak/>
              <w:t xml:space="preserve">- анализировать 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 задачи</w:t>
            </w:r>
            <w:r w:rsidR="00970033">
              <w:rPr>
                <w:rFonts w:ascii="Times New Roman" w:eastAsia="Times New Roman" w:hAnsi="Times New Roman" w:cs="Times New Roman"/>
                <w:sz w:val="24"/>
                <w:szCs w:val="24"/>
                <w:lang w:eastAsia="ru-RU"/>
              </w:rPr>
              <w:t>;</w:t>
            </w:r>
            <w:r w:rsidR="00970033" w:rsidRPr="00382A75">
              <w:rPr>
                <w:rFonts w:ascii="Times New Roman" w:eastAsia="Times New Roman" w:hAnsi="Times New Roman" w:cs="Times New Roman"/>
                <w:sz w:val="24"/>
                <w:szCs w:val="24"/>
                <w:lang w:eastAsia="ru-RU"/>
              </w:rPr>
              <w:t xml:space="preserve"> </w:t>
            </w:r>
            <w:r w:rsidR="00970033">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Default="00575EC0"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rPr>
          <w:trHeight w:val="3694"/>
        </w:trPr>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7003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обеспечивать соблюдение норм финансового законодательства, в том числе при осуществлении финансового контроля</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70033">
              <w:rPr>
                <w:rFonts w:ascii="Times New Roman" w:eastAsia="Times New Roman" w:hAnsi="Times New Roman" w:cs="Times New Roman"/>
                <w:sz w:val="24"/>
                <w:szCs w:val="24"/>
                <w:lang w:eastAsia="ru-RU"/>
              </w:rPr>
              <w:t>;</w:t>
            </w:r>
            <w:r w:rsidR="00970033" w:rsidRPr="00382A75">
              <w:rPr>
                <w:rFonts w:ascii="Times New Roman" w:eastAsia="Times New Roman" w:hAnsi="Times New Roman" w:cs="Times New Roman"/>
                <w:sz w:val="24"/>
                <w:szCs w:val="24"/>
                <w:lang w:eastAsia="ru-RU"/>
              </w:rPr>
              <w:t xml:space="preserve"> </w:t>
            </w:r>
            <w:r w:rsidR="00970033">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w:t>
            </w:r>
            <w:r w:rsidRPr="00D3181F">
              <w:rPr>
                <w:rFonts w:ascii="Times New Roman" w:eastAsia="Calibri" w:hAnsi="Times New Roman" w:cs="Times New Roman"/>
                <w:sz w:val="24"/>
                <w:szCs w:val="24"/>
              </w:rPr>
              <w:lastRenderedPageBreak/>
              <w:t xml:space="preserve">по обеспечению соблюдения законодательства субъектами права в финансово-правовой сфере;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w:t>
            </w:r>
            <w:r w:rsidRPr="00ED764A">
              <w:rPr>
                <w:rFonts w:ascii="Times New Roman" w:eastAsia="Times New Roman" w:hAnsi="Times New Roman" w:cs="Times New Roman"/>
                <w:sz w:val="24"/>
                <w:szCs w:val="24"/>
                <w:lang w:eastAsia="ru-RU"/>
              </w:rPr>
              <w:lastRenderedPageBreak/>
              <w:t xml:space="preserve">и/или исследовательского уровня  </w:t>
            </w:r>
          </w:p>
          <w:p w:rsidR="00970033" w:rsidRDefault="00575EC0"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592D78" w:rsidRDefault="00592D78" w:rsidP="008F3452">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1 Общие положения финансового права</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 сфере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1.2 Что является предметом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правовых норм, которые регулируют имущественные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правовых норм, регулирующих гражданские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правовых норм, которые регулируют государственные финансы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государственных мер, регулирующих уголовные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Энциклопедия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Конституция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Справочная литература.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Законодательные и подзаконные акты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гражданские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уголовные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правонарушения дорожного движения.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 Характеристика науки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Контролирует административные 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Способствует совершенствованию финансового законодательства и финансово-правовых норм.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Совершенствует гражданские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Контролирует вопросы охраны окружающей среды.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1.6 Функции науки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Аналитическая.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Прогнозирующая.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-Упреждающая.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1.7 Связь финансового права с другими отраслями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Гражданское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Конституционное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Административное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1.8 Какие виды финансово-правовых норм вы знаете?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Обязывающие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Запрещающие.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Уполномочивающие.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1.9 Как подразделяются нормы финансового права по содержанию?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Интеллектуальные.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Материальные.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Процессуальные.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1.10 Финансовые отношения возникают между: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участниками сделки по продаже недвижимости;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наследниками имущества;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предприятиями - акционерами одной компании;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физическими лицами - акционерами одной компании.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1.11 Какое из приведенных ниже определений является верным: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Министерство финансов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1.12 Под финансами следует понимать: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финансовых институтов;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1.13 Финансовая система Российской Федерации включает в себя: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деятельность по взиманию налогов и сборов;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1.15 Финансам присущи следующие функции: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аккумулирующая, фискальная, контрольная;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стимулирующая и дестимулирующая.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1.16 Финансы и финансовые отношения - это: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неимущественные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имущественные и неимущественные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только денежные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политика;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финансовые ресурсы;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политика;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финансовые ресурсы;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государственные финансы – государственный бюджет;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государственные финансы – публичные финансы.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государственных предприятий;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коммерческих предприятий;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муниципальных образований;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государственные финансы;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граждан.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экономические (денежные);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личные неимущественные;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договорные.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1.22 Материальный аспект финансов состоит в том, что это: </w:t>
      </w:r>
    </w:p>
    <w:p w:rsidR="00592D78" w:rsidRPr="00592D78" w:rsidRDefault="00592D78" w:rsidP="00F86F28">
      <w:pPr>
        <w:numPr>
          <w:ilvl w:val="0"/>
          <w:numId w:val="6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592D78" w:rsidRPr="00592D78" w:rsidRDefault="00592D78" w:rsidP="00F86F28">
      <w:pPr>
        <w:numPr>
          <w:ilvl w:val="0"/>
          <w:numId w:val="6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средства коммерческих организаций и населения;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основные и оборотные средства предприятий.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налоги;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средства страховых и банковских организаций;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предприятий;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публичные финансы.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1.24 Предмет финансового права: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поводу оборота денежных средств;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1.25 Финансовые правоотношения - это: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1.26 Финансовое право - это: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общепризнанная отрасль российского публичного права;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комплексное межотраслевое образование;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общепризнанная отрасль российского частного права.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1.28 По предмету финансовое право наиболее тесно связано с: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земельным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административным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правом.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1.29 По методу финансовое право наиболее тесно связано с: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административным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международным частным правом.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безвозмездная и безвозвратная выдача денежных средств;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целевое выделение средств из бюджетов регионов;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Конституции РФ, Налоговом и Бюджетном кодексах РФ;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Финансовом кодексе РФ;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возможность вступать в договорные отношения;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отрасль права;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наука;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учебная дисциплина.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организацией и банком, открывшим ей расчетный счет;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уплате налога на прибыль организаций;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предоставлению ниже стоящему бюджету дотации;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проведению налоговой проверки;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уплате налога на прибыль организаций;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предоставление нижестоящему бюджету дотации;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проведению налоговой проверки;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по установлению методики распределения Федерального фонда финансовой поддержки субъектов РФ федерального бюджета;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формирования муниципального бюджета;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судебный акт суда общей юрисдикции;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судебный акт арбитражного суда;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постановление прокурора;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инструкция Министерства финансов РФ;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установления налогов и сборов;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принятия бюджета;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исполнения бюджета;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денежной эмиссии;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 поводу государственного займа.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1.41 К особенностям финансово-правовых норм относятся: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их преимущественно императивный характер;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именно финансовые отношения;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денежно-имущественные отношения;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все экономические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1.42 Санкция финансово-правовой нормы - это: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обязанность субъекта финансово-правового отношения;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мера государственного принуждения;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объем правоспособности участника отношения;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полномочия участника финансового правоотношения.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она носит материальный, денежный характер;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1.45 В финансовом праве преобладают нормы: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уполномачивающие;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обязывающие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592D78">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592D78">
        <w:rPr>
          <w:rFonts w:ascii="Times New Roman" w:eastAsia="Times New Roman" w:hAnsi="Times New Roman" w:cs="Times New Roman"/>
          <w:sz w:val="24"/>
          <w:szCs w:val="24"/>
        </w:rPr>
        <w:t xml:space="preserve">.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нормы-начала;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нормы-принципы;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нормы-дефиниции;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коллизионные нормы.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охранительные;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охранительные;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материальные;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процессуальные.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охранительные;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материальные;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процессуальные;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управомочивающие.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1.51 Основными источниками финансового права являются:</w:t>
      </w: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нормативно-правовые акты;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международные договоры;</w:t>
      </w: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судебная практика.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законности;</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плановости;</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финансового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территориальным публичным образованиям;</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коллективным субъектам;</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индивидуальным субъектам.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1.54 Запретительный метод финансового права предполагает:</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диспозитивные нормы, позволяющие заключать определенные соглашения.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1.55 Финансовое право, как отрасль права – это:</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1.56 Финансовое право регулирует:</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движение финансовых потоков внутри государства;</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финансовые права и обязанности государственных субъектов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предприятия и организации различных форм собственности и организационных форм;</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государственные органы;</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муниципальные образования.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Являются синонимами;</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1.59 Финансовое право – это совокупность:</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регулирующих общественные отношения в банковской сфере.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1.60 Предметом регулирования финансового права являются:</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единства бюджетной классификации;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гласность;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сбалансированности бюджета;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единство кассы;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целевого использования бюджетных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федерализма;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единства бюджетной системы;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демократический централизм.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2.2 Консолидированный бюджет это -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Сумма бюджетов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смета;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внебюджетные средства;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резервный фонд.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2.4 Министерство финансов РФ является (3 позиции):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органом, осуществляющим кассовое исполнение бюджета;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бюджетным учреждением;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главным распорядителем бюджетных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субъектом бюджетного планирования;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получателем бюджетных средств.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 Капитальный государственный долг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 Расходы бюджета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денежные средства, выплачиваемые из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денежные средства, поступающие в бюджет;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и  муниципальные;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расходы субъектов РФ, муниципальные;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централизованные, децентрализованные;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капитальные вложения, создание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инвестиции;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резервный фонд.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дотация;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субсидия;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субвенция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2.10 К источникам финансирования государственных и муниципальных расходов относят: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бюджета соответствующего уровня;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(муниципальные) внебюджетные фонды;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финансирование программ на конкурсной основе;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(муниципальное) частное партнерство;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распределительная функция;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регулирующая функция;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функция учета и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выпущенным от имени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гарантиям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государственному финансовому кредиту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менее одного года;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одного года до пяти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лет до десяти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Губернатором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Законодательным Собранием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финансов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финансовый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импортный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возвратности,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срочности,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целенаправленности,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платности,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обеспеченности.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Государственной Думой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Федерации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2.19. Полежат ли кредитные организации государственной регистрации?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да, подлежат;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нет, не подлежат;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нет, но должны получить специальное разрешение (лицензию) от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2.20 Надзор за деятельностью кредитных организаций осуществляет: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Банк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Счетная палата;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аудиторскими фирмами;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распределительной;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регулирующей;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функцией учета и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одного года до пяти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лет до десяти;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до двадцати;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до тридцати.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главой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Администрацией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депутатов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финансовый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импортный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возвратности,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срочности,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целенаправленности,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платности,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обеспеченности.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2.28. В Совет директоров ЦБ РФ входят Председатель Банка России и 12 членов Совета директоров, которые назначаются: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Государственной Думой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Федерации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2.29. Получение прибыли ______________ целью деятельности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является;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является;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является, если это предусмотрено федеральным законом.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Банком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юстиции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финансов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региональные, местные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обязательные, добровольные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средства, заемные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децентрализованные, 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безвозмездным поступлениям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2.33. Доходы местного бюджета ______в понятие государственные доходы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ограниченно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дополнительные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бюджета соответствующего уровня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гранты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финансовые средства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2.36. Сметно-бюджетное финансирование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восстановительная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сберегательно-накопительная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инвестиционная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2.38. Страховщик ____________ средства страховых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обязан инвестировать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вправе инвестировать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должен инвестировать по указанию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имеет права инвестировать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страховщика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страхователя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застрахованного лица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гаранта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региональные, местные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обязательные, добровольные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средства, заемные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децентрализованные, 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безвозмездным поступлениям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сбор</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штраф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дополнительные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2.45. Кто может быть инвестором на территории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физические лица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юридические ли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органы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иностранные субъекты предпринимательской деятельности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2.46. Бюджетное учреждение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2.47. Деятельность субъектов страхового дела: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подлежит лицензированию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подлежит лицензированию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медицинское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инвестиционное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пенсионное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трудовое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Пенсионный фонд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негосударственные пенсионные фонды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специализированные страховые организации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Фонд обязательного социального страхования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главой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Администрацией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депутатов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адресности и целевого характера бюджетных средств;</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достоверности бюджета;</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подведомственности расходов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запрос котировок;</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конкурс;</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аукцион.</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социального страхования РФ;</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Пенсионный фонд РФ;</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Фонд обязательного медицинского страхования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государственные и местные;</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регулярные и разовые;</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прямые и косвенные.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2.55 Что из перечисленного не является подакцизным товаром?</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Газированные напитки;</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Табачные изделия;</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Дизельное топливо.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текущий долг;</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капитальный долг;</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внутренний долг.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выгодоприобретателем;</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страховщиком;</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страховым агентом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2.58 К первому уровню банковской системы РФ относится:</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 России;</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кредитные организации;</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представительства иностранных банков.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свободы инвестирования;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государственного регулирования;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плановости.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2.60 Назовите основное назначение налогов в государстве.</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деятельности предприятий.</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Стимулирования деятельности предприятий.</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Получения средств для финансирования социальной сферы.</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Формирования доходов государственного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2.61 Финансовый бюджет включает:</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денежного средства.</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капитальных инвестиций.</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Прогнозный бухгалтерский баланс.</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продаж.</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Себестоимость продукции.</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Выручка от реализации продукции.</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 от реализации продукции.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2.63 Что может быть объектами кредитования могут быть:</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средства</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товарно-материальные ценности, выполненные работы или предоставленные услуги</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банки</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неверны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Обеспечить формирование доходов Государственного бюджета.</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Стимулировать инвестиционную деятельность предприятий.</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Регулировать формирование и использование прибыли предприятий.</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Обеспечить формирование доходов местных бюджетов.</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реорганизационные;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ликвидационные;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правильные;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внесения в реестр неплатежеспособных предприятий;</w:t>
      </w:r>
      <w:r w:rsidRPr="00592D78">
        <w:rPr>
          <w:rFonts w:ascii="Times New Roman" w:eastAsia="Times New Roman" w:hAnsi="Times New Roman" w:cs="Times New Roman"/>
          <w:sz w:val="24"/>
          <w:szCs w:val="24"/>
        </w:rPr>
        <w:tab/>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2.66 Найдите правильное определение кредитных отношений</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2.67 Найдите правильное определение экономической сущности кредита: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движение стоимости в сфере товарного обмена.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 предприятия.</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Чистая прибыль.</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Сумма валовых затрат.</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Скорректированный валовой доход.</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2.69 Назовите значение косвенных налогов для государства.</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уровня цен на продукцию (работы, услуги).</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объемов и структуры импорта товаров.</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Формирования доходов государственного бюджета.</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Регулирование объемов производства и реализации продукции</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Возрастают цены на товары.</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Возрастает себестоимость продукции.</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Уменьшается прибыль от реализации продукции.</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Уменьшается сумма чистой прибыли предприятия.</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2.71 Финансовое планирование включает такие этапы:</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правильные.</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Определение потребности в капитальных инвестициях.</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Анализ финансовой ситуации.</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Составление текущих финансовых планов.</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2.72 В чьем ведении находится Федеральное казначейство:</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Государственной думы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Центрального банка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Министерства финансов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Правительства РФ        </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федеральных законов</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федеральных конституционных законов</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указов Президента</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планов и прогнозов</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Пенсионный фонд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социального страхования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резервный фонд Правительства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ОМС</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2.75 Под бюджетом понимается:</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бюджеты всех уровней</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классификация расходов и доходов государства</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2.76 В Российской Федерации бюджетная система включает в себя:</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РФ и бюджеты субъектов РФ</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2.77 Бюджетный год начинается:</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1 января</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момента утверждения закона о бюджете</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26 августа</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1 сентября</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2.78 Доходы бюджетов образуются за счет:</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налоговых и неналоговых видов доходов</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безвозмездных и безвозвратных перечислений</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штрафы и иные суммы принудительного изъятия.</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2.79 Дефицит бюджета это-</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превышение доходов над расходами</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превышение расходов над доходами</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равенство доходной и расходной частей бюджета</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доходы от граждан</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2.80 Исполнение бюджета возложено на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Счетную палату РФ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Федеральное казначейство РФ</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Государственную Думу РФ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муниципалитеты</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3 Денежная система и финансы организаций</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валютные ограничения;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валютный контроль;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валютное регулирование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фактический;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официальный;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реальный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 Рыночное регулирование величины валютного курса: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осуществляется стихийно, на основании закона стоимости;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регулируется дисконтной политикой;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регулируется посредством учетной политики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международная экономическая интеграция;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международные валютно-финансовые и кредитные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международное движение факторов производства;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международные валютные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валюта Российской Федерации;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иностранная валюта;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внутренние ценные бумаги;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внешние ценные бумаги.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Внешней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Внутренней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Внешнеэкономической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Международной политикой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3.7. Валютное регулирование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вид предпринимательской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вид валютной деятельности органов государственной власти;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3.8. К валютным ограничениям относят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доходы, полученные преступным путем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3.9. Субъектами валютных правоотношений являются: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 дипломаты и иностранные физические, юридические лица;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резиденты и 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органы государственной власти и местного самоуправления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ЦБ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МВФ;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 и Министерством финансов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3.11. Эмиссионная система представляет собой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установленный ЦБ РФ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установленный Правительством РФ порядок эмиссии и обращения денег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3.12. Банк России является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кредитором последней инстанции;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должником перед кредитными организациями;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кредитором перед кредиторами организациями.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валюта Российской Федерации;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иностранная валюта;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внутренние ценные бумаги;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внешние ценные бумаги.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592D78" w:rsidRPr="00592D78" w:rsidRDefault="00592D78" w:rsidP="00F86F28">
      <w:pPr>
        <w:numPr>
          <w:ilvl w:val="0"/>
          <w:numId w:val="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 ограничением; </w:t>
      </w:r>
    </w:p>
    <w:p w:rsidR="00592D78" w:rsidRPr="00592D78" w:rsidRDefault="00592D78" w:rsidP="00F86F28">
      <w:pPr>
        <w:numPr>
          <w:ilvl w:val="0"/>
          <w:numId w:val="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 ограничения.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Таможенным кодексом РФ;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МВФ (Международный валютный фон);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НАТО;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ВТО (Всемирная торговая организация).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Внешней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Внутренней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Внешнеэкономической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Международной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преступным путем;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сборы, полученные преступным путем;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592D78" w:rsidRPr="00592D78" w:rsidRDefault="00592D78" w:rsidP="00F86F28">
      <w:pPr>
        <w:numPr>
          <w:ilvl w:val="0"/>
          <w:numId w:val="2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592D78" w:rsidRPr="00592D78" w:rsidRDefault="00592D78" w:rsidP="00F86F28">
      <w:pPr>
        <w:numPr>
          <w:ilvl w:val="0"/>
          <w:numId w:val="2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3.22 Валютное регулирование это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предпринимательской деятельности;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валютной деятельности органов государственной власти;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3.23 К валютным ограничениям относят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открытие резидентами и нерезидентами валютных счетов в уполномоченных банках;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преступным путем.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валютное регулирование;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таможенное регулирование;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налоговое регулирование.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письменной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устной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нотариальной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путем государственной регистрации.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таможенного сбора;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налоговой пошлины;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налога на добавленную стоимость и акцизного сбора;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налога на добавленную стоимость.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3.27 Субъектами валютных правоотношений являются: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дипломаты и иностранные физические, юридические лица;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и нерезиденты;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органы государственной власти и местного самоуправления.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Земельным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Таможенным кодексом Таможенного Союза.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3.31 Гражданско-правовая ответственность наступает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лишения свободы и конфискации имущества;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в виде отзыва лицензии на совершение определенных действий;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признания сделки недействительной;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взимания штрафных санкций.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лица, зарегистрированные в установленном законом порядке;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592D78" w:rsidRPr="00592D78" w:rsidRDefault="00592D78" w:rsidP="00F86F28">
      <w:pPr>
        <w:numPr>
          <w:ilvl w:val="0"/>
          <w:numId w:val="3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592D78" w:rsidRPr="00592D78" w:rsidRDefault="00592D78" w:rsidP="00F86F28">
      <w:pPr>
        <w:numPr>
          <w:ilvl w:val="0"/>
          <w:numId w:val="3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вынесением решения о запрете выезда за границу;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наложением штрафа;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лишением свободы на срок до 3 лет;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 ограничений;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 ограничениями;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данный вопрос законом не урегулирован.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органы исполнительной власти;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592D78" w:rsidRPr="00592D78" w:rsidRDefault="00592D78" w:rsidP="00F86F28">
      <w:pPr>
        <w:numPr>
          <w:ilvl w:val="0"/>
          <w:numId w:val="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 </w:t>
      </w:r>
    </w:p>
    <w:p w:rsidR="00592D78" w:rsidRPr="00592D78" w:rsidRDefault="00592D78" w:rsidP="00F86F28">
      <w:pPr>
        <w:numPr>
          <w:ilvl w:val="0"/>
          <w:numId w:val="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592D78" w:rsidRPr="00592D78" w:rsidRDefault="00592D78" w:rsidP="00F86F28">
      <w:pPr>
        <w:numPr>
          <w:ilvl w:val="0"/>
          <w:numId w:val="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 </w:t>
      </w:r>
    </w:p>
    <w:p w:rsidR="00592D78" w:rsidRPr="00592D78" w:rsidRDefault="00592D78" w:rsidP="00F86F28">
      <w:pPr>
        <w:numPr>
          <w:ilvl w:val="0"/>
          <w:numId w:val="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Федеральная служба финансово-бюджетного надзора (Росфиннадзор);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Федеральная налоговая служба (ФНС РФ);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Федеральная таможенная служба (ФТС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Предмет валютного права;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Метод валютного права;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Предмет финансового права.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3.41 Валютное право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увеличение валютных операций;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договор;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доверенность;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соглашение;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паспорт сделки.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592D78" w:rsidRPr="00592D78" w:rsidRDefault="00592D78" w:rsidP="00F86F28">
      <w:pPr>
        <w:numPr>
          <w:ilvl w:val="0"/>
          <w:numId w:val="5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592D78" w:rsidRPr="00592D78" w:rsidRDefault="00592D78" w:rsidP="00F86F28">
      <w:pPr>
        <w:numPr>
          <w:ilvl w:val="0"/>
          <w:numId w:val="5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принятия Конституции РФ 1993 г.;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объявления суверенитета России 1992 г.;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вступления в силу Федерального закона «О валютном регулировании и валютном контроле»;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после «развала» Союза ССР.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иностранцев, временно проживающих на территории России;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ЦБ РФ;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МВФ;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Правительством РФ и Министерством финансов РФ;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Президентом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3.49 Эмиссионная система представляет собой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ЦБ РФ порядок эмиссии и обращения денег;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3.50 Банк России является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кредитором последней инстанции;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должником перед кредитными организациями;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кредитором перед кредиторами организациями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3.51 Бюджет предприятия это:</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Стандарт, с которым сравнивают достигнутые результаты предприятия.</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Один из способов проверки выполнения бюджетов предприятием.</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Центральным банком РФ;</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Правительство РФ;</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Банку-агенту;</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Мировому банку.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3.53 Что такое финансовое состояние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Нет правильного ответа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3.54 Что такое кризисное финансовое состояние предприятия?</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обеспечиваются за счет всех основных источников формирования запасов и затрат.</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Нет правильного ответа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3.55 Средства, получаемые Центральным банком РФ, поступают:</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100% в государственный бюджет</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полностью остаются самому банку</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+50% перечисляется в бюджет, 50% остаются банку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3.56 Осуществлять денежную эмиссию может:</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Центральный банк РФ</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любая банковская организация</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небанковская организация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3.58 Деньги выполняют функцию:</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средства контроля</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средства платежа</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фискальную</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верные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3.59 Регулирование денежного обращения является функцией:</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Правительства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Государственной Думы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Министерства финансов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Центрального банка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 трех до пяти лет</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без ограничения</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 течение 1 года</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 1 года до пяти лет</w:t>
      </w:r>
    </w:p>
    <w:p w:rsid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D3181F" w:rsidRDefault="00592D78"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w:t>
      </w:r>
      <w:r w:rsidR="00847513" w:rsidRPr="00D3181F">
        <w:rPr>
          <w:rFonts w:ascii="Times New Roman" w:eastAsia="Times New Roman" w:hAnsi="Times New Roman" w:cs="Times New Roman"/>
          <w:sz w:val="24"/>
          <w:szCs w:val="24"/>
        </w:rPr>
        <w:lastRenderedPageBreak/>
        <w:t>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w:t>
      </w:r>
      <w:r w:rsidRPr="00D3181F">
        <w:rPr>
          <w:rFonts w:ascii="Times New Roman" w:eastAsia="Times New Roman" w:hAnsi="Times New Roman" w:cs="Times New Roman"/>
          <w:sz w:val="24"/>
          <w:szCs w:val="24"/>
        </w:rPr>
        <w:lastRenderedPageBreak/>
        <w:t>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w:t>
      </w:r>
      <w:r w:rsidRPr="00D3181F">
        <w:rPr>
          <w:rFonts w:ascii="Times New Roman" w:eastAsia="Times New Roman" w:hAnsi="Times New Roman" w:cs="Times New Roman"/>
          <w:sz w:val="24"/>
          <w:szCs w:val="24"/>
        </w:rPr>
        <w:lastRenderedPageBreak/>
        <w:t>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w:t>
      </w:r>
      <w:r w:rsidRPr="00D3181F">
        <w:rPr>
          <w:rFonts w:ascii="Times New Roman" w:eastAsia="Times New Roman" w:hAnsi="Times New Roman" w:cs="Times New Roman"/>
          <w:sz w:val="24"/>
          <w:szCs w:val="24"/>
        </w:rPr>
        <w:lastRenderedPageBreak/>
        <w:t xml:space="preserve">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w:t>
      </w:r>
      <w:r w:rsidRPr="00D3181F">
        <w:rPr>
          <w:rFonts w:ascii="Times New Roman" w:eastAsia="Times New Roman" w:hAnsi="Times New Roman" w:cs="Times New Roman"/>
          <w:sz w:val="24"/>
          <w:szCs w:val="24"/>
        </w:rPr>
        <w:lastRenderedPageBreak/>
        <w:t>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85"/>
        <w:gridCol w:w="4786"/>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Виды государственного долга</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3039"/>
        <w:gridCol w:w="3073"/>
        <w:gridCol w:w="3099"/>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w:t>
      </w:r>
      <w:r w:rsidRPr="00D3181F">
        <w:rPr>
          <w:rFonts w:ascii="Times New Roman" w:eastAsia="Times New Roman" w:hAnsi="Times New Roman" w:cs="Times New Roman"/>
          <w:sz w:val="24"/>
          <w:szCs w:val="24"/>
        </w:rPr>
        <w:lastRenderedPageBreak/>
        <w:t xml:space="preserve">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Default="00253F5C" w:rsidP="006276C9">
      <w:pPr>
        <w:spacing w:after="0" w:line="240" w:lineRule="auto"/>
        <w:ind w:firstLine="709"/>
        <w:jc w:val="both"/>
        <w:rPr>
          <w:rFonts w:ascii="Times New Roman" w:eastAsia="Times New Roman" w:hAnsi="Times New Roman" w:cs="Times New Roman"/>
          <w:b/>
          <w:sz w:val="24"/>
          <w:szCs w:val="24"/>
        </w:rPr>
      </w:pPr>
    </w:p>
    <w:p w:rsidR="00592D78" w:rsidRDefault="00592D78"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задания контрольной работы: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w:t>
      </w:r>
      <w:r w:rsidRPr="00592D78">
        <w:rPr>
          <w:rFonts w:ascii="Times New Roman" w:eastAsia="Times New Roman" w:hAnsi="Times New Roman" w:cs="Times New Roman"/>
          <w:sz w:val="24"/>
          <w:szCs w:val="24"/>
        </w:rPr>
        <w:tab/>
        <w:t>Ответить на вопрос: «Что означает принцип федерализма в финансовой деятельности государства? В каких правовых актах данный принцип находит свое закрепление?».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w:t>
      </w:r>
      <w:r w:rsidRPr="00592D78">
        <w:rPr>
          <w:rFonts w:ascii="Times New Roman" w:eastAsia="Times New Roman" w:hAnsi="Times New Roman" w:cs="Times New Roman"/>
          <w:sz w:val="24"/>
          <w:szCs w:val="24"/>
        </w:rPr>
        <w:tab/>
        <w:t>Используя Закон Оренбургской области «Об областном бюджете на 2016 год» определите: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В каком объеме (по доходам и расходам) утвержден бюджет Оренбургской области и каков предельный объем его дефицита (профицита)?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592D78">
        <w:rPr>
          <w:rFonts w:ascii="Times New Roman" w:eastAsia="Times New Roman" w:hAnsi="Times New Roman" w:cs="Times New Roman"/>
          <w:sz w:val="24"/>
          <w:szCs w:val="24"/>
        </w:rPr>
        <w:tab/>
        <w:t>Какие источники покрытия дефицита бюджета определены БК РФ и в каком объеме по бюджете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Какие целевые и резервные фонды бюджета, предусмотрены законом о бюджете на очередной финансовый год?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w:t>
      </w:r>
      <w:r w:rsidRPr="00592D78">
        <w:rPr>
          <w:rFonts w:ascii="Times New Roman" w:eastAsia="Times New Roman" w:hAnsi="Times New Roman" w:cs="Times New Roman"/>
          <w:sz w:val="24"/>
          <w:szCs w:val="24"/>
        </w:rPr>
        <w:tab/>
        <w:t>Составить схему: «Виды финансового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4.</w:t>
      </w:r>
      <w:r w:rsidRPr="00592D78">
        <w:rPr>
          <w:rFonts w:ascii="Times New Roman" w:eastAsia="Times New Roman" w:hAnsi="Times New Roman" w:cs="Times New Roman"/>
          <w:sz w:val="24"/>
          <w:szCs w:val="24"/>
        </w:rPr>
        <w:tab/>
        <w:t>Решить задачу: В областной бюджет были зачислены следующие виды поступлений: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пени и штрафы за налоговые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суммы банковского кредита, обеспеченные залогом областной недвижимости,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дотации из федерального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штрафы, полученные в результате применения мер административной ответственности,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бюджетные кредиты, полученные из вышестоящего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Проведите классификацию указанных поступлений, указав, какие из них являются налоговыми и неналоговыми доходами, а также безвозмездными поступлениями.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5.</w:t>
      </w:r>
      <w:r w:rsidRPr="00592D78">
        <w:rPr>
          <w:rFonts w:ascii="Times New Roman" w:eastAsia="Times New Roman" w:hAnsi="Times New Roman" w:cs="Times New Roman"/>
          <w:sz w:val="24"/>
          <w:szCs w:val="24"/>
        </w:rPr>
        <w:tab/>
        <w:t>Решить задачу: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Определите, какие меры могут быть приняты в отношении Киселевых.</w:t>
      </w:r>
    </w:p>
    <w:p w:rsidR="00592D78" w:rsidRDefault="00592D78" w:rsidP="006276C9">
      <w:pPr>
        <w:spacing w:after="0" w:line="240" w:lineRule="auto"/>
        <w:ind w:firstLine="709"/>
        <w:jc w:val="both"/>
        <w:rPr>
          <w:rFonts w:ascii="Times New Roman" w:eastAsia="Times New Roman" w:hAnsi="Times New Roman" w:cs="Times New Roman"/>
          <w:b/>
          <w:sz w:val="24"/>
          <w:szCs w:val="24"/>
        </w:rPr>
      </w:pPr>
    </w:p>
    <w:p w:rsidR="00592D78" w:rsidRPr="00D3181F" w:rsidRDefault="00592D78"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 xml:space="preserve">продемонстрировано знание только основного (базового) материала по теме практического занятия, допускает ошибки и неточности при ответе на </w:t>
            </w:r>
            <w:r w:rsidRPr="00D3181F">
              <w:rPr>
                <w:rFonts w:eastAsia="Calibri"/>
                <w:sz w:val="24"/>
                <w:szCs w:val="24"/>
                <w:lang w:eastAsia="en-US"/>
              </w:rPr>
              <w:lastRenderedPageBreak/>
              <w:t>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lastRenderedPageBreak/>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w:t>
            </w:r>
            <w:r w:rsidRPr="00D3181F">
              <w:rPr>
                <w:rFonts w:eastAsia="Calibri"/>
                <w:sz w:val="24"/>
                <w:szCs w:val="24"/>
                <w:lang w:eastAsia="en-US"/>
              </w:rPr>
              <w:lastRenderedPageBreak/>
              <w:t>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lastRenderedPageBreak/>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lastRenderedPageBreak/>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 xml:space="preserve">излагает, умеет тесно увязывать теорию с практикой, свободно </w:t>
            </w:r>
            <w:r w:rsidRPr="00A873C3">
              <w:rPr>
                <w:sz w:val="24"/>
                <w:szCs w:val="24"/>
              </w:rPr>
              <w:lastRenderedPageBreak/>
              <w:t>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lastRenderedPageBreak/>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w:t>
      </w:r>
      <w:r w:rsidR="00624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заданий</w:t>
      </w:r>
      <w:r w:rsidR="00624FF9">
        <w:rPr>
          <w:rFonts w:ascii="Times New Roman" w:eastAsia="Times New Roman" w:hAnsi="Times New Roman" w:cs="Times New Roman"/>
          <w:sz w:val="24"/>
          <w:szCs w:val="24"/>
        </w:rPr>
        <w:t xml:space="preserve"> (схемы, таблицы)</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213CDD" w:rsidRPr="00EE76A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213CDD" w:rsidRPr="00EE76A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4FF9">
        <w:rPr>
          <w:rFonts w:ascii="Times New Roman" w:eastAsia="Times New Roman" w:hAnsi="Times New Roman" w:cs="Times New Roman"/>
          <w:sz w:val="24"/>
          <w:szCs w:val="24"/>
        </w:rPr>
        <w:t>неверно выполнены два первых задания: не раскрыт теоретический вопрос, не представлен полный ответ на вопросы второго задания;</w:t>
      </w:r>
    </w:p>
    <w:p w:rsidR="00624FF9" w:rsidRDefault="00624FF9"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решены две задачи контрольной работы.</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lastRenderedPageBreak/>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28" w:rsidRDefault="00F86F28" w:rsidP="00A13401">
      <w:pPr>
        <w:spacing w:after="0" w:line="240" w:lineRule="auto"/>
      </w:pPr>
      <w:r>
        <w:separator/>
      </w:r>
    </w:p>
  </w:endnote>
  <w:endnote w:type="continuationSeparator" w:id="0">
    <w:p w:rsidR="00F86F28" w:rsidRDefault="00F86F28"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28" w:rsidRDefault="00F86F28" w:rsidP="00A13401">
      <w:pPr>
        <w:spacing w:after="0" w:line="240" w:lineRule="auto"/>
      </w:pPr>
      <w:r>
        <w:separator/>
      </w:r>
    </w:p>
  </w:footnote>
  <w:footnote w:type="continuationSeparator" w:id="0">
    <w:p w:rsidR="00F86F28" w:rsidRDefault="00F86F28"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3B79"/>
    <w:rsid w:val="002F7BA0"/>
    <w:rsid w:val="00310C81"/>
    <w:rsid w:val="00324118"/>
    <w:rsid w:val="00325E0B"/>
    <w:rsid w:val="00391F5B"/>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92D78"/>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A02ED"/>
    <w:rsid w:val="00BE443D"/>
    <w:rsid w:val="00C215AE"/>
    <w:rsid w:val="00C343E1"/>
    <w:rsid w:val="00C37027"/>
    <w:rsid w:val="00C62DE4"/>
    <w:rsid w:val="00C62F0F"/>
    <w:rsid w:val="00C831AA"/>
    <w:rsid w:val="00C848F7"/>
    <w:rsid w:val="00CA12D4"/>
    <w:rsid w:val="00CB38AF"/>
    <w:rsid w:val="00CD6EC5"/>
    <w:rsid w:val="00CF71CE"/>
    <w:rsid w:val="00D00F00"/>
    <w:rsid w:val="00D070AD"/>
    <w:rsid w:val="00D202AB"/>
    <w:rsid w:val="00D3181F"/>
    <w:rsid w:val="00D417A8"/>
    <w:rsid w:val="00D8393A"/>
    <w:rsid w:val="00DB304F"/>
    <w:rsid w:val="00DB4F07"/>
    <w:rsid w:val="00DB6D92"/>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41799"/>
    <w:rsid w:val="00F74334"/>
    <w:rsid w:val="00F86F28"/>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351E2-ABA6-4937-80ED-9B17A852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592D78"/>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592D78"/>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59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372F2-7349-4426-9809-9F5FE6AF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Pages>
  <Words>19586</Words>
  <Characters>111643</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76</cp:revision>
  <cp:lastPrinted>2019-10-30T07:36:00Z</cp:lastPrinted>
  <dcterms:created xsi:type="dcterms:W3CDTF">2017-09-06T06:05:00Z</dcterms:created>
  <dcterms:modified xsi:type="dcterms:W3CDTF">2019-12-04T10:30:00Z</dcterms:modified>
</cp:coreProperties>
</file>