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федерального государственного бюджетного образовательного учреждения высшего </w:t>
      </w:r>
      <w:r w:rsidR="00F755BE">
        <w:rPr>
          <w:sz w:val="28"/>
          <w:szCs w:val="20"/>
        </w:rPr>
        <w:t xml:space="preserve">профессионального </w:t>
      </w:r>
      <w:r w:rsidRPr="00DD5AEB">
        <w:rPr>
          <w:sz w:val="28"/>
          <w:szCs w:val="20"/>
        </w:rPr>
        <w:t>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5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F755BE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F755BE">
              <w:rPr>
                <w:bCs/>
                <w:sz w:val="28"/>
                <w:szCs w:val="28"/>
              </w:rPr>
              <w:t>5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DC309F" w:rsidRPr="00F755BE" w:rsidRDefault="00F84AE4" w:rsidP="00DC309F">
      <w:pPr>
        <w:suppressAutoHyphens/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="00DC309F">
        <w:rPr>
          <w:sz w:val="28"/>
          <w:szCs w:val="20"/>
        </w:rPr>
        <w:t xml:space="preserve"> 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(профиль </w:t>
      </w:r>
      <w:r w:rsidR="00DC309F">
        <w:rPr>
          <w:rFonts w:eastAsia="Calibri"/>
          <w:sz w:val="28"/>
          <w:szCs w:val="28"/>
          <w:lang w:eastAsia="en-US"/>
        </w:rPr>
        <w:t>Дошкольное</w:t>
      </w:r>
      <w:r w:rsidR="00DC309F" w:rsidRPr="00F755BE">
        <w:rPr>
          <w:rFonts w:eastAsia="Calibri"/>
          <w:sz w:val="28"/>
          <w:szCs w:val="28"/>
          <w:lang w:eastAsia="en-US"/>
        </w:rPr>
        <w:t xml:space="preserve"> образование)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>
        <w:rPr>
          <w:sz w:val="28"/>
          <w:szCs w:val="28"/>
        </w:rPr>
        <w:t>5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>
        <w:rPr>
          <w:sz w:val="28"/>
          <w:szCs w:val="28"/>
        </w:rPr>
        <w:t>5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F16D66">
        <w:rPr>
          <w:bCs/>
          <w:sz w:val="28"/>
          <w:szCs w:val="28"/>
        </w:rPr>
        <w:t>5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>
        <w:rPr>
          <w:bCs/>
          <w:sz w:val="28"/>
          <w:szCs w:val="28"/>
        </w:rPr>
        <w:t>5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lastRenderedPageBreak/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DC309F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3963</Words>
  <Characters>22590</Characters>
  <Application>Microsoft Office Word</Application>
  <DocSecurity>0</DocSecurity>
  <Lines>188</Lines>
  <Paragraphs>52</Paragraphs>
  <ScaleCrop>false</ScaleCrop>
  <Company/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2019-01-16T04:41:00Z</dcterms:created>
  <dcterms:modified xsi:type="dcterms:W3CDTF">2019-11-05T17:51:00Z</dcterms:modified>
</cp:coreProperties>
</file>