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FD6F14">
        <w:rPr>
          <w:rFonts w:ascii="Times New Roman" w:eastAsia="Calibri" w:hAnsi="Times New Roman" w:cs="Times New Roman"/>
          <w:sz w:val="28"/>
        </w:rPr>
        <w:t>высшего образовани</w:t>
      </w:r>
      <w:r w:rsidR="00FD6F14" w:rsidRPr="00A8107D">
        <w:rPr>
          <w:rFonts w:ascii="Times New Roman" w:eastAsia="Calibri" w:hAnsi="Times New Roman" w:cs="Times New Roman"/>
          <w:sz w:val="28"/>
        </w:rPr>
        <w:t>я</w:t>
      </w:r>
      <w:r w:rsidR="00FD6F14">
        <w:rPr>
          <w:rFonts w:ascii="Times New Roman" w:eastAsia="Calibri" w:hAnsi="Times New Roman" w:cs="Times New Roman"/>
          <w:sz w:val="28"/>
        </w:rPr>
        <w:t xml:space="preserve"> и </w:t>
      </w:r>
      <w:r w:rsidRPr="00A8107D">
        <w:rPr>
          <w:rFonts w:ascii="Times New Roman" w:eastAsia="Calibri" w:hAnsi="Times New Roman" w:cs="Times New Roman"/>
          <w:sz w:val="28"/>
        </w:rPr>
        <w:t>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D6F14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6739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FD6F14">
              <w:rPr>
                <w:bCs/>
                <w:sz w:val="28"/>
                <w:szCs w:val="28"/>
              </w:rPr>
              <w:t>2</w:t>
            </w:r>
            <w:r w:rsidR="00272CB6">
              <w:rPr>
                <w:bCs/>
                <w:sz w:val="28"/>
                <w:szCs w:val="28"/>
              </w:rPr>
              <w:t>2</w:t>
            </w:r>
            <w:r w:rsidR="00767395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FD6F14">
          <w:rPr>
            <w:szCs w:val="28"/>
          </w:rPr>
          <w:t>44</w:t>
        </w:r>
        <w:r w:rsidR="00FD6F14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F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тся с целью проверки знаний студента по определенным разделам дисциплины. Рубежный контроль проводится в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44" w:rsidRDefault="00C06B44" w:rsidP="00817BE6">
      <w:pPr>
        <w:spacing w:after="0" w:line="240" w:lineRule="auto"/>
      </w:pPr>
      <w:r>
        <w:separator/>
      </w:r>
    </w:p>
  </w:endnote>
  <w:endnote w:type="continuationSeparator" w:id="0">
    <w:p w:rsidR="00C06B44" w:rsidRDefault="00C06B4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44" w:rsidRDefault="00C06B44" w:rsidP="00817BE6">
      <w:pPr>
        <w:spacing w:after="0" w:line="240" w:lineRule="auto"/>
      </w:pPr>
      <w:r>
        <w:separator/>
      </w:r>
    </w:p>
  </w:footnote>
  <w:footnote w:type="continuationSeparator" w:id="0">
    <w:p w:rsidR="00C06B44" w:rsidRDefault="00C06B4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2CB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67395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02E82"/>
    <w:rsid w:val="00C06B44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38CA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D6F14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5EE9-DCBB-4307-876E-C14A2D1F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2022-03-20T17:18:00Z</dcterms:modified>
</cp:coreProperties>
</file>