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Кафедра уголовного права и уголовного процесса</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7B652A">
        <w:rPr>
          <w:szCs w:val="28"/>
        </w:rPr>
        <w:t>6</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уголовного права и уголовного процесса</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протокол № 9 от "13" марта 2017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2011-2015 год</w:t>
      </w:r>
      <w:r w:rsidR="00A619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C247D1">
            <w:pPr>
              <w:jc w:val="center"/>
              <w:rPr>
                <w:b/>
                <w:sz w:val="28"/>
                <w:szCs w:val="28"/>
              </w:rPr>
            </w:pPr>
            <w:r w:rsidRPr="008E5AC6">
              <w:rPr>
                <w:b/>
                <w:sz w:val="28"/>
                <w:szCs w:val="28"/>
              </w:rPr>
              <w:t>2011</w:t>
            </w:r>
          </w:p>
        </w:tc>
        <w:tc>
          <w:tcPr>
            <w:tcW w:w="1260" w:type="dxa"/>
            <w:vAlign w:val="center"/>
          </w:tcPr>
          <w:p w:rsidR="00D0485F" w:rsidRPr="008E5AC6" w:rsidRDefault="00D0485F" w:rsidP="00C247D1">
            <w:pPr>
              <w:jc w:val="center"/>
              <w:rPr>
                <w:b/>
                <w:sz w:val="28"/>
                <w:szCs w:val="28"/>
              </w:rPr>
            </w:pPr>
            <w:r w:rsidRPr="008E5AC6">
              <w:rPr>
                <w:b/>
                <w:sz w:val="28"/>
                <w:szCs w:val="28"/>
              </w:rPr>
              <w:t>2012</w:t>
            </w:r>
          </w:p>
        </w:tc>
        <w:tc>
          <w:tcPr>
            <w:tcW w:w="1260" w:type="dxa"/>
            <w:vAlign w:val="center"/>
          </w:tcPr>
          <w:p w:rsidR="00D0485F" w:rsidRPr="008E5AC6" w:rsidRDefault="00D0485F" w:rsidP="00C247D1">
            <w:pPr>
              <w:jc w:val="center"/>
              <w:rPr>
                <w:b/>
                <w:sz w:val="28"/>
                <w:szCs w:val="28"/>
              </w:rPr>
            </w:pPr>
            <w:r w:rsidRPr="008E5AC6">
              <w:rPr>
                <w:b/>
                <w:sz w:val="28"/>
                <w:szCs w:val="28"/>
              </w:rPr>
              <w:t>2013</w:t>
            </w:r>
          </w:p>
        </w:tc>
        <w:tc>
          <w:tcPr>
            <w:tcW w:w="1260" w:type="dxa"/>
            <w:vAlign w:val="center"/>
          </w:tcPr>
          <w:p w:rsidR="00D0485F" w:rsidRPr="008E5AC6" w:rsidRDefault="00D0485F" w:rsidP="00C247D1">
            <w:pPr>
              <w:jc w:val="center"/>
              <w:rPr>
                <w:b/>
                <w:sz w:val="28"/>
                <w:szCs w:val="28"/>
              </w:rPr>
            </w:pPr>
            <w:r w:rsidRPr="008E5AC6">
              <w:rPr>
                <w:b/>
                <w:sz w:val="28"/>
                <w:szCs w:val="28"/>
              </w:rPr>
              <w:t>2014</w:t>
            </w:r>
          </w:p>
        </w:tc>
        <w:tc>
          <w:tcPr>
            <w:tcW w:w="1183" w:type="dxa"/>
            <w:vAlign w:val="center"/>
          </w:tcPr>
          <w:p w:rsidR="00D0485F" w:rsidRPr="008E5AC6" w:rsidRDefault="00D0485F" w:rsidP="00C247D1">
            <w:pPr>
              <w:jc w:val="center"/>
              <w:rPr>
                <w:b/>
                <w:sz w:val="28"/>
                <w:szCs w:val="28"/>
              </w:rPr>
            </w:pPr>
            <w:r w:rsidRPr="008E5AC6">
              <w:rPr>
                <w:b/>
                <w:sz w:val="28"/>
                <w:szCs w:val="28"/>
              </w:rPr>
              <w:t>2015</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bookmarkStart w:id="5" w:name="_GoBack"/>
      <w:bookmarkEnd w:id="5"/>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9B" w:rsidRDefault="00A1079B" w:rsidP="005A0E63">
      <w:r>
        <w:separator/>
      </w:r>
    </w:p>
  </w:endnote>
  <w:endnote w:type="continuationSeparator" w:id="0">
    <w:p w:rsidR="00A1079B" w:rsidRDefault="00A1079B"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094EE0">
        <w:pPr>
          <w:pStyle w:val="ac"/>
          <w:jc w:val="center"/>
        </w:pPr>
        <w:r>
          <w:fldChar w:fldCharType="begin"/>
        </w:r>
        <w:r w:rsidR="00354C78">
          <w:instrText xml:space="preserve"> PAGE   \* MERGEFORMAT </w:instrText>
        </w:r>
        <w:r>
          <w:fldChar w:fldCharType="separate"/>
        </w:r>
        <w:r w:rsidR="00A619AE">
          <w:rPr>
            <w:noProof/>
          </w:rPr>
          <w:t>46</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9B" w:rsidRDefault="00A1079B" w:rsidP="005A0E63">
      <w:r>
        <w:separator/>
      </w:r>
    </w:p>
  </w:footnote>
  <w:footnote w:type="continuationSeparator" w:id="0">
    <w:p w:rsidR="00A1079B" w:rsidRDefault="00A1079B"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710EE"/>
    <w:rsid w:val="00073B10"/>
    <w:rsid w:val="00092A99"/>
    <w:rsid w:val="00094EE0"/>
    <w:rsid w:val="000B1D1D"/>
    <w:rsid w:val="000C61F3"/>
    <w:rsid w:val="000C7A81"/>
    <w:rsid w:val="000D68CD"/>
    <w:rsid w:val="00126DA1"/>
    <w:rsid w:val="00130DE2"/>
    <w:rsid w:val="00140C0D"/>
    <w:rsid w:val="0017155B"/>
    <w:rsid w:val="001769D8"/>
    <w:rsid w:val="001812E9"/>
    <w:rsid w:val="00185396"/>
    <w:rsid w:val="0019018B"/>
    <w:rsid w:val="001A6AA2"/>
    <w:rsid w:val="001C0B4A"/>
    <w:rsid w:val="001C4A95"/>
    <w:rsid w:val="001D118D"/>
    <w:rsid w:val="001F10E7"/>
    <w:rsid w:val="002053FF"/>
    <w:rsid w:val="00216B0C"/>
    <w:rsid w:val="00235334"/>
    <w:rsid w:val="00256AFA"/>
    <w:rsid w:val="0027358B"/>
    <w:rsid w:val="0028555F"/>
    <w:rsid w:val="002A090C"/>
    <w:rsid w:val="002A1A51"/>
    <w:rsid w:val="002A7C8B"/>
    <w:rsid w:val="002B0F5C"/>
    <w:rsid w:val="002B7768"/>
    <w:rsid w:val="002C3AF5"/>
    <w:rsid w:val="002D6D39"/>
    <w:rsid w:val="002E0591"/>
    <w:rsid w:val="002E305F"/>
    <w:rsid w:val="002F0FDA"/>
    <w:rsid w:val="002F7414"/>
    <w:rsid w:val="003018CB"/>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4304"/>
    <w:rsid w:val="006E6719"/>
    <w:rsid w:val="00706E5B"/>
    <w:rsid w:val="00715948"/>
    <w:rsid w:val="007468AD"/>
    <w:rsid w:val="00747BB3"/>
    <w:rsid w:val="007520E7"/>
    <w:rsid w:val="00753D31"/>
    <w:rsid w:val="00794D23"/>
    <w:rsid w:val="00794EDF"/>
    <w:rsid w:val="007B652A"/>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660C"/>
    <w:rsid w:val="00990587"/>
    <w:rsid w:val="009A767F"/>
    <w:rsid w:val="009B7E53"/>
    <w:rsid w:val="009E1D6F"/>
    <w:rsid w:val="00A059D7"/>
    <w:rsid w:val="00A1079B"/>
    <w:rsid w:val="00A13F73"/>
    <w:rsid w:val="00A172DD"/>
    <w:rsid w:val="00A207B8"/>
    <w:rsid w:val="00A33694"/>
    <w:rsid w:val="00A34506"/>
    <w:rsid w:val="00A4347D"/>
    <w:rsid w:val="00A52A9B"/>
    <w:rsid w:val="00A52B67"/>
    <w:rsid w:val="00A5416B"/>
    <w:rsid w:val="00A619AE"/>
    <w:rsid w:val="00A71F73"/>
    <w:rsid w:val="00A721ED"/>
    <w:rsid w:val="00A8706D"/>
    <w:rsid w:val="00A874AD"/>
    <w:rsid w:val="00A90A42"/>
    <w:rsid w:val="00AA4E04"/>
    <w:rsid w:val="00AE1291"/>
    <w:rsid w:val="00AE23E8"/>
    <w:rsid w:val="00AE330C"/>
    <w:rsid w:val="00AE5D5E"/>
    <w:rsid w:val="00AE7179"/>
    <w:rsid w:val="00AF3BAC"/>
    <w:rsid w:val="00B0718D"/>
    <w:rsid w:val="00B121FB"/>
    <w:rsid w:val="00B12733"/>
    <w:rsid w:val="00B14A88"/>
    <w:rsid w:val="00B477DD"/>
    <w:rsid w:val="00B54B9D"/>
    <w:rsid w:val="00B624E7"/>
    <w:rsid w:val="00B7002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2527-189D-4FA6-86CB-905B7E93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20015</Words>
  <Characters>114088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2019-11-11T12:51:00Z</dcterms:created>
  <dcterms:modified xsi:type="dcterms:W3CDTF">2019-12-01T17:34:00Z</dcterms:modified>
</cp:coreProperties>
</file>