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Минобрнауки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61537B" w:rsidP="00B820C7">
      <w:pPr>
        <w:pStyle w:val="ReportHead"/>
        <w:widowControl w:val="0"/>
        <w:rPr>
          <w:sz w:val="24"/>
        </w:rPr>
      </w:pPr>
      <w:r>
        <w:rPr>
          <w:i/>
          <w:sz w:val="24"/>
        </w:rPr>
        <w:t>Пр</w:t>
      </w:r>
      <w:r w:rsidR="00E23C10">
        <w:rPr>
          <w:i/>
          <w:sz w:val="24"/>
        </w:rPr>
        <w:t>актикум по педагогической техно</w:t>
      </w:r>
      <w:r>
        <w:rPr>
          <w:i/>
          <w:sz w:val="24"/>
        </w:rPr>
        <w:t>логии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</w:t>
      </w:r>
      <w:r w:rsidR="007C0339">
        <w:rPr>
          <w:i/>
          <w:sz w:val="24"/>
          <w:u w:val="single"/>
        </w:rPr>
        <w:t>1</w:t>
      </w:r>
      <w:r w:rsidR="0061537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</w:t>
      </w:r>
      <w:r w:rsidR="007C0339">
        <w:rPr>
          <w:i/>
          <w:sz w:val="24"/>
          <w:u w:val="single"/>
        </w:rPr>
        <w:t>Педагогическое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8E50E7" w:rsidP="00B820C7">
      <w:pPr>
        <w:pStyle w:val="ReportHead"/>
        <w:widowControl w:val="0"/>
        <w:rPr>
          <w:sz w:val="24"/>
        </w:rPr>
      </w:pPr>
      <w:r>
        <w:rPr>
          <w:i/>
          <w:sz w:val="24"/>
          <w:u w:val="single"/>
        </w:rPr>
        <w:t>О</w:t>
      </w:r>
      <w:r w:rsidR="00B820C7">
        <w:rPr>
          <w:i/>
          <w:sz w:val="24"/>
          <w:u w:val="single"/>
        </w:rPr>
        <w:t>чная</w:t>
      </w: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Год </w:t>
      </w:r>
      <w:r w:rsidR="00E23C10">
        <w:rPr>
          <w:sz w:val="24"/>
        </w:rPr>
        <w:t>набора 20</w:t>
      </w:r>
      <w:r w:rsidR="008E50E7">
        <w:rPr>
          <w:sz w:val="24"/>
        </w:rPr>
        <w:t>21</w:t>
      </w:r>
    </w:p>
    <w:p w:rsidR="00FF76C0" w:rsidRPr="00FF76C0" w:rsidRDefault="0061537B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Практикум по педагогической технологии</w:t>
      </w:r>
      <w:r w:rsidR="00FF76C0"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="00FF76C0"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="00FF76C0"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 ; Бузулукский гуманитарно-технолог. ин-т (филиал) ГОУ ОГУ. – Б</w:t>
      </w:r>
      <w:r w:rsidR="00E23C10">
        <w:rPr>
          <w:rFonts w:ascii="Times New Roman" w:eastAsia="Times New Roman" w:hAnsi="Times New Roman" w:cs="Times New Roman"/>
          <w:sz w:val="28"/>
          <w:szCs w:val="20"/>
        </w:rPr>
        <w:t xml:space="preserve">узулук : БГТИ (филиал) ОГУ, </w:t>
      </w:r>
      <w:r w:rsidR="00253E64">
        <w:rPr>
          <w:rFonts w:ascii="Times New Roman" w:eastAsia="Times New Roman" w:hAnsi="Times New Roman" w:cs="Times New Roman"/>
          <w:sz w:val="28"/>
          <w:szCs w:val="20"/>
        </w:rPr>
        <w:t>20</w:t>
      </w:r>
      <w:r w:rsidR="008E50E7">
        <w:rPr>
          <w:rFonts w:ascii="Times New Roman" w:eastAsia="Times New Roman" w:hAnsi="Times New Roman" w:cs="Times New Roman"/>
          <w:sz w:val="28"/>
          <w:szCs w:val="20"/>
        </w:rPr>
        <w:t>21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>Методические указания для обучающихся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537B">
        <w:rPr>
          <w:rFonts w:ascii="Times New Roman" w:eastAsia="Times New Roman" w:hAnsi="Times New Roman" w:cs="Times New Roman"/>
          <w:sz w:val="28"/>
          <w:szCs w:val="20"/>
        </w:rPr>
        <w:t>Практикум по педагогической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спортивно-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университизаций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</w:t>
      </w:r>
      <w:r w:rsidR="00963C39">
        <w:rPr>
          <w:rFonts w:ascii="Times New Roman" w:eastAsia="Times New Roman" w:hAnsi="Times New Roman" w:cs="Times New Roman"/>
          <w:sz w:val="28"/>
          <w:szCs w:val="20"/>
        </w:rPr>
        <w:t>Практикум по педагогической технологии</w:t>
      </w:r>
      <w:r w:rsidR="007A2F3F" w:rsidRPr="007A2F3F">
        <w:rPr>
          <w:rFonts w:ascii="Times New Roman" w:hAnsi="Times New Roman" w:cs="Times New Roman"/>
          <w:sz w:val="28"/>
          <w:szCs w:val="28"/>
        </w:rPr>
        <w:t>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963C39" w:rsidRPr="00B421BD" w:rsidRDefault="007A2F3F" w:rsidP="00963C39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421BD">
        <w:rPr>
          <w:rFonts w:eastAsia="Calibri"/>
          <w:b/>
          <w:sz w:val="28"/>
          <w:szCs w:val="28"/>
        </w:rPr>
        <w:t>Целью освоения дисциплины «</w:t>
      </w:r>
      <w:r w:rsidR="00963C39" w:rsidRPr="00B421BD">
        <w:rPr>
          <w:rFonts w:eastAsia="Times New Roman"/>
          <w:sz w:val="28"/>
          <w:szCs w:val="28"/>
        </w:rPr>
        <w:t>Практикум по педагогической технологии</w:t>
      </w:r>
      <w:r w:rsidRPr="00B421BD">
        <w:rPr>
          <w:rFonts w:eastAsia="Calibri"/>
          <w:b/>
          <w:sz w:val="28"/>
          <w:szCs w:val="28"/>
        </w:rPr>
        <w:t xml:space="preserve">» являются процессы </w:t>
      </w:r>
      <w:r w:rsidRPr="00B421BD">
        <w:rPr>
          <w:rFonts w:eastAsia="Times New Roman"/>
          <w:sz w:val="28"/>
          <w:szCs w:val="28"/>
          <w:lang w:eastAsia="ru-RU"/>
        </w:rPr>
        <w:t xml:space="preserve">формирования у будущего бакалавра </w:t>
      </w:r>
      <w:r w:rsidR="00963C39" w:rsidRPr="00B421BD">
        <w:rPr>
          <w:sz w:val="28"/>
          <w:szCs w:val="28"/>
        </w:rPr>
        <w:t>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социально-психологического феномена, а также формирование у студентов основ организационно-технологической и функционально-операционной деятельности будущего педагога профессиональной школы.</w:t>
      </w:r>
    </w:p>
    <w:p w:rsidR="00963C39" w:rsidRPr="00963C39" w:rsidRDefault="00963C39" w:rsidP="00963C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39" w:rsidRPr="00963C39" w:rsidRDefault="00963C39" w:rsidP="00963C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3C39" w:rsidRPr="00963C39" w:rsidRDefault="00963C39" w:rsidP="00963C39">
      <w:pPr>
        <w:widowControl w:val="0"/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о теоретических основах  педагогической технологии как прикладной педагогической дисциплине, обеспечивающей реальное взаимодействие педагога и обучающихся; </w:t>
      </w:r>
    </w:p>
    <w:p w:rsidR="00963C39" w:rsidRPr="00963C39" w:rsidRDefault="00963C39" w:rsidP="00963C39">
      <w:pPr>
        <w:widowControl w:val="0"/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становлению системы знаний студентов о структурном содержании педагогической технологии;</w:t>
      </w:r>
    </w:p>
    <w:p w:rsidR="00963C39" w:rsidRPr="00963C39" w:rsidRDefault="00963C39" w:rsidP="00963C39">
      <w:pPr>
        <w:widowControl w:val="0"/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процессу овладения студентами педагогической технологией;</w:t>
      </w:r>
    </w:p>
    <w:p w:rsidR="00963C39" w:rsidRPr="00963C39" w:rsidRDefault="00963C39" w:rsidP="00963C39">
      <w:pPr>
        <w:widowControl w:val="0"/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активизации самовоспитания и самосовершенствования студентов в процессе освоения дисциплины.</w:t>
      </w:r>
    </w:p>
    <w:p w:rsidR="00963C39" w:rsidRPr="00963C39" w:rsidRDefault="00963C39" w:rsidP="00963C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39">
        <w:rPr>
          <w:rFonts w:ascii="Times New Roman" w:hAnsi="Times New Roman" w:cs="Times New Roman"/>
          <w:sz w:val="28"/>
          <w:szCs w:val="28"/>
        </w:rPr>
        <w:t>- способствовать развитию технологической и педагогической культуры будущих бакалавров профессионального обучения;</w:t>
      </w:r>
    </w:p>
    <w:p w:rsidR="00963C39" w:rsidRPr="00963C39" w:rsidRDefault="00963C39" w:rsidP="00963C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39">
        <w:rPr>
          <w:rFonts w:ascii="Times New Roman" w:hAnsi="Times New Roman" w:cs="Times New Roman"/>
          <w:sz w:val="28"/>
          <w:szCs w:val="28"/>
        </w:rPr>
        <w:t>- развивать умение будущих бакалавров самостоятельно проектировать  свою деятельность и предвидеть ее педагогические результаты.</w:t>
      </w:r>
    </w:p>
    <w:p w:rsidR="00F377BF" w:rsidRPr="00B421BD" w:rsidRDefault="00F377BF" w:rsidP="00963C39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8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 w:rsidR="00B421BD">
        <w:rPr>
          <w:rFonts w:ascii="Times New Roman" w:eastAsia="Calibri" w:hAnsi="Times New Roman" w:cs="Times New Roman"/>
          <w:sz w:val="28"/>
          <w:szCs w:val="28"/>
        </w:rPr>
        <w:t>Практикум по педагогической технологии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 w:rsidR="00B421BD">
        <w:rPr>
          <w:rFonts w:ascii="Times New Roman" w:eastAsia="Calibri" w:hAnsi="Times New Roman" w:cs="Times New Roman"/>
          <w:sz w:val="28"/>
          <w:szCs w:val="28"/>
        </w:rPr>
        <w:t>Практикум по педагогической технологии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1" w:name="Работа_с_рекомендованной_литературой"/>
      <w:bookmarkEnd w:id="1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Pr="000B1EBA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8C61EB" w:rsidRPr="008C61EB" w:rsidRDefault="008C61EB" w:rsidP="008C61E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B">
        <w:rPr>
          <w:rFonts w:ascii="Times New Roman" w:hAnsi="Times New Roman" w:cs="Times New Roman"/>
          <w:sz w:val="28"/>
          <w:szCs w:val="28"/>
        </w:rPr>
        <w:t>Педагогическая технология как научная дисциплина, ее место в системе наук о воспитании.</w:t>
      </w:r>
    </w:p>
    <w:p w:rsidR="008C61EB" w:rsidRPr="008C61EB" w:rsidRDefault="008C61EB" w:rsidP="008C61E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B">
        <w:rPr>
          <w:rFonts w:ascii="Times New Roman" w:hAnsi="Times New Roman" w:cs="Times New Roman"/>
          <w:sz w:val="28"/>
          <w:szCs w:val="28"/>
        </w:rPr>
        <w:lastRenderedPageBreak/>
        <w:t>Конструирование педагогического общения в контексте реализации педагогической технологии</w:t>
      </w:r>
    </w:p>
    <w:p w:rsidR="008C61EB" w:rsidRPr="008C61EB" w:rsidRDefault="008C61EB" w:rsidP="008C61E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EB">
        <w:rPr>
          <w:rFonts w:ascii="Times New Roman" w:hAnsi="Times New Roman" w:cs="Times New Roman"/>
          <w:sz w:val="28"/>
          <w:szCs w:val="28"/>
        </w:rPr>
        <w:t>Работа педагога по овладению педагогической технологией</w:t>
      </w:r>
    </w:p>
    <w:p w:rsidR="007865D9" w:rsidRPr="007865D9" w:rsidRDefault="008C61EB" w:rsidP="008C61EB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EB">
        <w:rPr>
          <w:rFonts w:ascii="Times New Roman" w:hAnsi="Times New Roman" w:cs="Times New Roman"/>
          <w:sz w:val="28"/>
          <w:szCs w:val="28"/>
        </w:rPr>
        <w:t>Личностно-характерологические условия для практического овладения педагогической технологией</w:t>
      </w:r>
    </w:p>
    <w:p w:rsidR="00AF656D" w:rsidRPr="008C61EB" w:rsidRDefault="00AF656D" w:rsidP="007865D9">
      <w:pPr>
        <w:pStyle w:val="a9"/>
        <w:widowControl w:val="0"/>
        <w:shd w:val="clear" w:color="auto" w:fill="FFFFFF"/>
        <w:tabs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</w:t>
      </w:r>
      <w:r w:rsidR="00786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выступления на семинарском занятии</w:t>
      </w:r>
      <w:r w:rsidRPr="008C6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цивилистические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E228F6" w:rsidP="008E50E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8F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Методические рекомендации по </w:t>
      </w:r>
      <w:r w:rsidR="00C55B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работе с вопросами для углубленного изучения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Основной формой работы студентов на </w:t>
      </w:r>
      <w:r w:rsidR="00520C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семинарских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занятиях является </w:t>
      </w:r>
      <w:r w:rsidR="00520CB2" w:rsidRPr="00520C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работе с вопросами для углубленного изучения</w:t>
      </w:r>
      <w:r w:rsidR="00520C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работа над которыми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помогает лучшему усвоению теоретических знаний и способствует квалифицированной подготовке студентов к их будущей профессиональной деятельности. </w:t>
      </w:r>
    </w:p>
    <w:p w:rsidR="00022391" w:rsidRPr="00022391" w:rsidRDefault="00520CB2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Задания представляю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собой </w:t>
      </w:r>
      <w:r w:rsid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="000E5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предусматривающую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="000E5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явления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 w:rsid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Необходимым условием успешного </w:t>
      </w:r>
      <w:r w:rsidR="000E5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должно быть развѐрнутым, аргументированным и не сводиться к односложным ответам на поставленные вопросы. Важно также рассмотреть все возможные варианты </w:t>
      </w:r>
      <w:r w:rsidR="006354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 сит</w:t>
      </w:r>
      <w:r w:rsidR="008E50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6354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ации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решению, необходимо подробно изучить учебную и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</w:t>
      </w:r>
      <w:bookmarkStart w:id="2" w:name="_GoBack"/>
      <w:bookmarkEnd w:id="2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упомянутых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</w:t>
      </w:r>
      <w:r w:rsidR="00B31C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(педагогическая)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задача представляет собой выполненную в письменной форме (объѐм 0,5-1 страницы формата А4)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 обязательно оставьте время для проверки ответов, чтобы избежать 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 xml:space="preserve">зачета </w:t>
      </w:r>
      <w:r w:rsidRPr="00545ABA">
        <w:rPr>
          <w:color w:val="000000"/>
          <w:sz w:val="28"/>
          <w:szCs w:val="28"/>
        </w:rPr>
        <w:t>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</w:t>
      </w:r>
      <w:r w:rsidRPr="00545ABA">
        <w:rPr>
          <w:color w:val="000000"/>
          <w:sz w:val="28"/>
          <w:szCs w:val="28"/>
        </w:rPr>
        <w:lastRenderedPageBreak/>
        <w:t>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9E" w:rsidRDefault="00F3249E" w:rsidP="00B820C7">
      <w:pPr>
        <w:spacing w:after="0" w:line="240" w:lineRule="auto"/>
      </w:pPr>
      <w:r>
        <w:separator/>
      </w:r>
    </w:p>
  </w:endnote>
  <w:endnote w:type="continuationSeparator" w:id="0">
    <w:p w:rsidR="00F3249E" w:rsidRDefault="00F3249E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7D65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E7">
          <w:rPr>
            <w:noProof/>
          </w:rPr>
          <w:t>12</w:t>
        </w:r>
        <w:r>
          <w:fldChar w:fldCharType="end"/>
        </w:r>
      </w:p>
    </w:sdtContent>
  </w:sdt>
  <w:p w:rsidR="00B85F56" w:rsidRDefault="00F3249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9E" w:rsidRDefault="00F3249E" w:rsidP="00B820C7">
      <w:pPr>
        <w:spacing w:after="0" w:line="240" w:lineRule="auto"/>
      </w:pPr>
      <w:r>
        <w:separator/>
      </w:r>
    </w:p>
  </w:footnote>
  <w:footnote w:type="continuationSeparator" w:id="0">
    <w:p w:rsidR="00F3249E" w:rsidRDefault="00F3249E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F2B"/>
    <w:multiLevelType w:val="hybridMultilevel"/>
    <w:tmpl w:val="8E6C45C0"/>
    <w:lvl w:ilvl="0" w:tplc="5206102A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3" w15:restartNumberingAfterBreak="0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0E53A8"/>
    <w:rsid w:val="00105D87"/>
    <w:rsid w:val="00112FCC"/>
    <w:rsid w:val="00136121"/>
    <w:rsid w:val="001C088F"/>
    <w:rsid w:val="001C32A4"/>
    <w:rsid w:val="001C3F16"/>
    <w:rsid w:val="00253E64"/>
    <w:rsid w:val="002A39BB"/>
    <w:rsid w:val="003C3E1E"/>
    <w:rsid w:val="004141BE"/>
    <w:rsid w:val="00432BE5"/>
    <w:rsid w:val="00520CB2"/>
    <w:rsid w:val="00565CC4"/>
    <w:rsid w:val="005C01C6"/>
    <w:rsid w:val="005E4225"/>
    <w:rsid w:val="0061537B"/>
    <w:rsid w:val="0063546D"/>
    <w:rsid w:val="006E6F66"/>
    <w:rsid w:val="007865D9"/>
    <w:rsid w:val="007A2F3F"/>
    <w:rsid w:val="007C0339"/>
    <w:rsid w:val="007F3337"/>
    <w:rsid w:val="0080566F"/>
    <w:rsid w:val="008B2D2F"/>
    <w:rsid w:val="008C61EB"/>
    <w:rsid w:val="008E50E7"/>
    <w:rsid w:val="00937F24"/>
    <w:rsid w:val="00963156"/>
    <w:rsid w:val="00963C39"/>
    <w:rsid w:val="00A35174"/>
    <w:rsid w:val="00A82C96"/>
    <w:rsid w:val="00AF656D"/>
    <w:rsid w:val="00B31C98"/>
    <w:rsid w:val="00B421BD"/>
    <w:rsid w:val="00B820C7"/>
    <w:rsid w:val="00B86967"/>
    <w:rsid w:val="00C3581A"/>
    <w:rsid w:val="00C55B56"/>
    <w:rsid w:val="00C77DC8"/>
    <w:rsid w:val="00C93A98"/>
    <w:rsid w:val="00D828F8"/>
    <w:rsid w:val="00DC1898"/>
    <w:rsid w:val="00E228F6"/>
    <w:rsid w:val="00E23C10"/>
    <w:rsid w:val="00EA66B5"/>
    <w:rsid w:val="00F3249E"/>
    <w:rsid w:val="00F377BF"/>
    <w:rsid w:val="00F965CB"/>
    <w:rsid w:val="00FA407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DA2A"/>
  <w15:docId w15:val="{4CEF4B22-5DDB-471E-9520-7846711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963C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963C3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A46A-2275-4812-938A-1D35E1AE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2019-11-15T06:16:00Z</dcterms:created>
  <dcterms:modified xsi:type="dcterms:W3CDTF">2023-08-18T08:36:00Z</dcterms:modified>
</cp:coreProperties>
</file>