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29" w:rsidRPr="007807B5" w:rsidRDefault="00A13229" w:rsidP="00A13229">
      <w:pPr>
        <w:suppressLineNumber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7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</w:t>
      </w: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«О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ренбургский государственный университет»</w:t>
      </w: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экономических и учетных дисциплин</w:t>
      </w: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A13229" w:rsidRPr="007807B5" w:rsidRDefault="00A13229" w:rsidP="00A1322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7B5">
        <w:rPr>
          <w:rFonts w:ascii="Times New Roman" w:eastAsia="Times New Roman" w:hAnsi="Times New Roman" w:cs="Times New Roman"/>
          <w:sz w:val="32"/>
          <w:szCs w:val="32"/>
          <w:lang w:eastAsia="ru-RU"/>
        </w:rPr>
        <w:t>К.А. Миннибаева</w:t>
      </w:r>
    </w:p>
    <w:p w:rsidR="00A13229" w:rsidRPr="007807B5" w:rsidRDefault="00A13229" w:rsidP="00A13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13229" w:rsidRPr="007807B5" w:rsidRDefault="00A13229" w:rsidP="00A13229">
      <w:pPr>
        <w:keepNext/>
        <w:spacing w:after="0" w:line="240" w:lineRule="auto"/>
        <w:ind w:left="-284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ЭКОНОМИКА ОРГАНИЗАЦИЙ (ПРЕДПРИЯТИЙ)</w:t>
      </w: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07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указания для обучающихся по освоению дисциплины </w:t>
      </w: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Бузулук </w:t>
      </w: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13229" w:rsidRPr="007807B5" w:rsidRDefault="00A13229" w:rsidP="00A13229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Миннибаева К.А.</w:t>
      </w:r>
    </w:p>
    <w:p w:rsidR="00A13229" w:rsidRPr="007807B5" w:rsidRDefault="00A13229" w:rsidP="00A1322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организаций (предприятий): методические указания для обучающихся по освоению дисциплины / К. А. Миннибаева</w:t>
      </w:r>
      <w:r w:rsidRPr="007807B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ОГУ. - Бузулук: БГТИ,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07B5">
        <w:rPr>
          <w:rFonts w:ascii="Times New Roman" w:eastAsia="Times New Roman" w:hAnsi="Times New Roman" w:cs="Times New Roman"/>
          <w:sz w:val="28"/>
          <w:szCs w:val="28"/>
        </w:rPr>
        <w:t>. - 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807B5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A13229" w:rsidRPr="007807B5" w:rsidRDefault="00A13229" w:rsidP="00A132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229" w:rsidRPr="007807B5" w:rsidRDefault="00A13229" w:rsidP="00A132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229" w:rsidRPr="007807B5" w:rsidRDefault="00A13229" w:rsidP="00A132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содержат общие рекомендации для подготовки к лекционным и практическим занятиям, </w:t>
      </w:r>
      <w:r w:rsidR="00FE0155"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самостоятельной работы</w:t>
      </w:r>
      <w:r w:rsidR="00FE0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0155"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контрольной работы,  </w:t>
      </w:r>
      <w:r w:rsidR="00FE0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задач и тест</w:t>
      </w:r>
      <w:r w:rsidR="00FE0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заданий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контрольных вопросов подготовки к экзамену, </w:t>
      </w:r>
      <w:r w:rsidR="00FE0155" w:rsidRPr="0078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</w:t>
      </w:r>
      <w:r w:rsidR="00FE0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ивания</w:t>
      </w:r>
      <w:r w:rsidR="00FE0155" w:rsidRPr="0078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сформированности компетенций</w:t>
      </w:r>
      <w:bookmarkStart w:id="1" w:name="_GoBack"/>
      <w:bookmarkEnd w:id="1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229" w:rsidRPr="007807B5" w:rsidRDefault="00A13229" w:rsidP="00A1322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Методические указания предназначены для</w:t>
      </w:r>
      <w:r w:rsidRPr="00780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7B5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студентов, обучающихся по направлению подготовки 38.03.01 Экономика.</w:t>
      </w:r>
    </w:p>
    <w:p w:rsidR="00A13229" w:rsidRPr="007807B5" w:rsidRDefault="00A13229" w:rsidP="00A1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tabs>
          <w:tab w:val="left" w:pos="851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©Миннибаева К.А.,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13229" w:rsidRPr="007807B5" w:rsidRDefault="00A13229" w:rsidP="00A132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©БГТИ (филиал) ОГУ,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13229" w:rsidRPr="007807B5" w:rsidRDefault="00A13229" w:rsidP="00A1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13229" w:rsidRPr="007807B5" w:rsidRDefault="00A13229" w:rsidP="00A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9260"/>
        <w:gridCol w:w="496"/>
      </w:tblGrid>
      <w:tr w:rsidR="00A13229" w:rsidRPr="007807B5" w:rsidTr="007676DE">
        <w:tc>
          <w:tcPr>
            <w:tcW w:w="9260" w:type="dxa"/>
          </w:tcPr>
          <w:p w:rsidR="00A13229" w:rsidRPr="007807B5" w:rsidRDefault="00A13229" w:rsidP="0076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Основные положения………………………...………………</w:t>
            </w:r>
          </w:p>
        </w:tc>
        <w:tc>
          <w:tcPr>
            <w:tcW w:w="496" w:type="dxa"/>
          </w:tcPr>
          <w:p w:rsidR="00A13229" w:rsidRPr="007807B5" w:rsidRDefault="00A13229" w:rsidP="0076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13229" w:rsidRPr="007807B5" w:rsidTr="007676DE">
        <w:tc>
          <w:tcPr>
            <w:tcW w:w="9260" w:type="dxa"/>
          </w:tcPr>
          <w:p w:rsidR="00A13229" w:rsidRPr="007807B5" w:rsidRDefault="00A13229" w:rsidP="0076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Методические рекомендации по освоению дисциплины…………</w:t>
            </w:r>
          </w:p>
          <w:p w:rsidR="00A13229" w:rsidRPr="007807B5" w:rsidRDefault="00A13229" w:rsidP="0076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Методические рекомендации к лекционным </w:t>
            </w:r>
            <w:proofErr w:type="gramStart"/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занятиям.…</w:t>
            </w:r>
            <w:proofErr w:type="gramEnd"/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A13229" w:rsidRPr="007807B5" w:rsidRDefault="00A13229" w:rsidP="0076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Методические рекомендации к практическим </w:t>
            </w:r>
            <w:proofErr w:type="gramStart"/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занятиям..</w:t>
            </w:r>
            <w:proofErr w:type="gramEnd"/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</w:p>
          <w:p w:rsidR="00A13229" w:rsidRPr="007807B5" w:rsidRDefault="00A13229" w:rsidP="0076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Методические рекомендации по организации самостоятельной работы</w:t>
            </w:r>
          </w:p>
          <w:p w:rsidR="00A13229" w:rsidRPr="007807B5" w:rsidRDefault="00A13229" w:rsidP="0076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Методические рекомендации по выполнению индивидуальных творческих заданий…………………………………………………………….</w:t>
            </w:r>
          </w:p>
          <w:p w:rsidR="00A13229" w:rsidRDefault="00A13229" w:rsidP="0076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Методические рекомендации по выполнению контрольных работ</w:t>
            </w:r>
          </w:p>
          <w:p w:rsidR="00A13229" w:rsidRPr="007807B5" w:rsidRDefault="00A13229" w:rsidP="0076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Оценивание по дисциплине…………………………………………………</w:t>
            </w:r>
          </w:p>
        </w:tc>
        <w:tc>
          <w:tcPr>
            <w:tcW w:w="496" w:type="dxa"/>
          </w:tcPr>
          <w:p w:rsidR="00A13229" w:rsidRPr="007807B5" w:rsidRDefault="00A13229" w:rsidP="0076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13229" w:rsidRPr="007807B5" w:rsidRDefault="00A13229" w:rsidP="0076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13229" w:rsidRPr="007807B5" w:rsidRDefault="00A13229" w:rsidP="0076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13229" w:rsidRPr="007807B5" w:rsidRDefault="00A13229" w:rsidP="0076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13229" w:rsidRPr="007807B5" w:rsidRDefault="00A13229" w:rsidP="0076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229" w:rsidRPr="007807B5" w:rsidRDefault="00A13229" w:rsidP="0076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A13229" w:rsidRDefault="00A13229" w:rsidP="0076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A13229" w:rsidRPr="007807B5" w:rsidRDefault="00A13229" w:rsidP="00767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Основные положения</w:t>
      </w:r>
    </w:p>
    <w:p w:rsidR="00A13229" w:rsidRPr="007807B5" w:rsidRDefault="00A13229" w:rsidP="00A132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методического пособия – помочь обучающимся в освоении дисциплины «Экономика организаций (предприятий)».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92139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(цели) освоения дисциплины: формирование знаний об экономическом механизме функционирования организаций (предприятий), практических умений и навыков по использованию экономических знаний в профессиональной деятельности.    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основ функционирования организаций (предприятий) в национальной экономике, организации производственного процесса на предприятии, состава и структуры производственных ресурсов организации (предприятия), показателей эффективности деятельности организации; 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освоение методов выполнения экономических расчетов показателей эффективности использования ресурсов организации (предприятия), финансовых результатов, инвестиционной деятельности, экономической эффективности деятельности организации; 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7739275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обработки экономико-статистической информации для выявления тенденций изменения социально-экономических показателей и путей повышения эффективности деятельности организации.</w:t>
      </w:r>
      <w:bookmarkEnd w:id="3"/>
    </w:p>
    <w:bookmarkEnd w:id="2"/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обязательным дисциплинам (модулям) вариативной части блока 1 «Дисциплины (модули)». Процесс изучения дисциплины направлен на формирование следующих компетенций и результатов обучения: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7B5">
        <w:rPr>
          <w:rFonts w:ascii="Times New Roman" w:eastAsia="Calibri" w:hAnsi="Times New Roman" w:cs="Times New Roman"/>
        </w:rPr>
        <w:t xml:space="preserve"> </w:t>
      </w:r>
      <w:r w:rsidRPr="007807B5">
        <w:rPr>
          <w:rFonts w:ascii="Times New Roman" w:eastAsia="Calibri" w:hAnsi="Times New Roman" w:cs="Times New Roman"/>
          <w:b/>
          <w:sz w:val="28"/>
          <w:szCs w:val="28"/>
        </w:rPr>
        <w:t>ОПК-2</w:t>
      </w:r>
      <w:r w:rsidRPr="007807B5">
        <w:rPr>
          <w:rFonts w:ascii="Times New Roman" w:eastAsia="Calibri" w:hAnsi="Times New Roman" w:cs="Times New Roman"/>
          <w:sz w:val="28"/>
          <w:szCs w:val="28"/>
        </w:rPr>
        <w:t xml:space="preserve"> способность осуществлять сбор, анализ и обработку данных, необходимых для решения профессиональных задач. В рамках формируемой компетенции: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7B5">
        <w:rPr>
          <w:rFonts w:ascii="Times New Roman" w:eastAsia="Calibri" w:hAnsi="Times New Roman" w:cs="Times New Roman"/>
          <w:sz w:val="28"/>
          <w:szCs w:val="28"/>
        </w:rPr>
        <w:t>- знать: организационные и экономические основы функционирования организаций (предприятий), экономические основы  планирования, формирования производственной программы; состав ресурсов и  способы оценки эффективности их использования; методы расчета себестоимости и  финансовых результатов деятельности, оценки эффективности деятельности организации;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7B5">
        <w:rPr>
          <w:rFonts w:ascii="Times New Roman" w:eastAsia="Calibri" w:hAnsi="Times New Roman" w:cs="Times New Roman"/>
          <w:sz w:val="28"/>
          <w:szCs w:val="28"/>
        </w:rPr>
        <w:t xml:space="preserve">- уметь: выполнять сбор информации, расчеты и анализ показателей эффективности использования ресурсов и эффективности деятельности предприятия; обосновывать решения, обеспечивающие оптимальные варианты развития организации; 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7B5">
        <w:rPr>
          <w:rFonts w:ascii="Times New Roman" w:eastAsia="Calibri" w:hAnsi="Times New Roman" w:cs="Times New Roman"/>
          <w:sz w:val="28"/>
          <w:szCs w:val="28"/>
        </w:rPr>
        <w:t xml:space="preserve">- владеть: методами анализа и оценки эффективности использования ресурсов и эффективности деятельности организации; методами обработки </w:t>
      </w:r>
      <w:r w:rsidRPr="007807B5">
        <w:rPr>
          <w:rFonts w:ascii="Times New Roman" w:eastAsia="Calibri" w:hAnsi="Times New Roman" w:cs="Times New Roman"/>
          <w:sz w:val="28"/>
          <w:szCs w:val="28"/>
        </w:rPr>
        <w:lastRenderedPageBreak/>
        <w:t>данных и планирования экономических показателей деятельности организации.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ПК-6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 Для формирования компетенции: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анализа и интерпретирования данных отечественной и зарубежной статистики о социально-экономических процессах и явлениях; 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источники информации для проведения анализа; применять современные методы аналитических расчетов; 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 методами сбора и обработки экономико-статистической информации из отечественных и зарубежных источников для выявления тенденций изменения социально-экономических показателей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Методические рекомендации по освоению дисциплины</w:t>
      </w:r>
    </w:p>
    <w:p w:rsidR="00A13229" w:rsidRPr="007807B5" w:rsidRDefault="00A13229" w:rsidP="00A132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регламентируется учебным планом и расписанием учебных занятий. 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 дисциплины, студенту необходимо внимательно ознакомиться со структурой, содержанием, тематическим планом занятий, списком рекомендованной литературы. Самостоятельная работа студента предполагает работу с научной и учебной литературой. Уровень и глубина усвоения дисциплины зависят от активной и систематической работы на лекциях, использования рекомендованного учебно-методического обеспечения, выполнения предусмотренных заданий. При изучении дисциплины студенты изучают рекомендованную научно-практическую и учебную литературу, выполняют задания, предусмотренные для самостоятельной работы</w:t>
      </w:r>
    </w:p>
    <w:p w:rsidR="00A13229" w:rsidRPr="007807B5" w:rsidRDefault="00A13229" w:rsidP="00A132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профессиональной подготовки используется лекционно-семинарская система,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рассчитана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студенты  высшего образования (ВО) уже имеют навыки учебной деятельности и способны к самостоятельному поиску и усвоению знаний. Основными формами организации обучения являются: лекции; практические занятия и семинары, на которых студенты выступают с докладами, участвуют в обсуждении вопросов изучаемой темы, решают задачи, выполняют тестовые задания, контрольные письменные работы; консультации; рубежный контроль, экзамен. </w:t>
      </w:r>
    </w:p>
    <w:p w:rsidR="00A13229" w:rsidRPr="007807B5" w:rsidRDefault="00A13229" w:rsidP="00A132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A13229" w:rsidRPr="007807B5" w:rsidRDefault="00A13229" w:rsidP="00A132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2.1 Методические рекомендации к лекционным занятиям</w:t>
      </w:r>
    </w:p>
    <w:p w:rsidR="00A13229" w:rsidRPr="007807B5" w:rsidRDefault="00A13229" w:rsidP="00A132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предполагает систематизированное изложение основных вопросов учебного плана.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лекции лектор знакомит студентов, применительно к какому базовому учебнику (учебникам, учебным пособиям) будет прочитан курс.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Лекционный курс дает наибольший объем информации и обеспечивает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A13229" w:rsidRPr="007807B5" w:rsidRDefault="00A13229" w:rsidP="00A132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A13229" w:rsidRPr="007807B5" w:rsidRDefault="00A13229" w:rsidP="00A132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в зависимости от дидактических задач и логики учебного материала используются вводные, текущие и обзорные лекции; в зависимости от деятельности студентов - информационные, объяснительные, лекции - беседы.</w:t>
      </w:r>
    </w:p>
    <w:p w:rsidR="00A13229" w:rsidRPr="007807B5" w:rsidRDefault="00A13229" w:rsidP="00A132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Вводная лекция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A13229" w:rsidRPr="007807B5" w:rsidRDefault="00A13229" w:rsidP="00A132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Установочная лекция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детально знакомит с организацией самостоятельной работы, с особенностями выполнения контрольных заданий.</w:t>
      </w:r>
    </w:p>
    <w:p w:rsidR="00A13229" w:rsidRPr="007807B5" w:rsidRDefault="00A13229" w:rsidP="00A132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Текущая лекция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для систематического изложения учебного материала дисциплины. Каждая лекция посвящена определенной теме и является в этом отношении законченной, составляя с другими (предшествующей, последующей) определенную целостную систему. На лекционных занятиях преподаватель сообщает и обобщает теоретические знания, учит студентов приемам конспектирования. </w:t>
      </w:r>
    </w:p>
    <w:p w:rsidR="00A13229" w:rsidRPr="007807B5" w:rsidRDefault="00A13229" w:rsidP="00A132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Заключительная лекция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науки. </w:t>
      </w:r>
    </w:p>
    <w:p w:rsidR="00A13229" w:rsidRPr="007807B5" w:rsidRDefault="00A13229" w:rsidP="00A132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Обзорная лекция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 формах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обучения). </w:t>
      </w:r>
    </w:p>
    <w:p w:rsidR="00A13229" w:rsidRPr="007807B5" w:rsidRDefault="00A13229" w:rsidP="00A132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учебно-методических материалов лекционного курса включаются:</w:t>
      </w:r>
    </w:p>
    <w:p w:rsidR="00A13229" w:rsidRPr="007807B5" w:rsidRDefault="00A13229" w:rsidP="00A132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A13229" w:rsidRPr="007807B5" w:rsidRDefault="00A13229" w:rsidP="00A132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тесты и задания по различным темам лекций (разделам учебной дисциплины) для самоконтроля студентов;</w:t>
      </w:r>
    </w:p>
    <w:p w:rsidR="00A13229" w:rsidRPr="007807B5" w:rsidRDefault="00A13229" w:rsidP="00A132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Работа по материалам лекций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книгой и конспектами лекций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книгой необходимо научиться правильно ее читать, вести записи. Важно помнить, что рациональные навыки работы с книгой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экономия времени и сил.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Полезно составлять опорные конспекты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 отведенных полях дополнять конспект лекций, отмечать вопросы, выделенные студентом для консультации с преподавателем. Рекомендуется в конспекте выделять выводы, полученные в результате изучения.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два вида чтения; первичное и вторичное. </w:t>
      </w:r>
      <w:r w:rsidRPr="00780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Первичное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780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вторичного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 -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усвоение смысла целого (по счету это чтение может быть и не вторым, а третьим или четвертым).</w:t>
      </w:r>
    </w:p>
    <w:p w:rsidR="00A13229" w:rsidRPr="007807B5" w:rsidRDefault="00A13229" w:rsidP="00A13229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 Методические рекомендации к семинарским (практическим) занятиям 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Семинарские (практические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семинаров и практических занятий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 В обязанности преподавателя входят: оказание методической помощи и консультирование студентов по соответствующим темам курса.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практических занятиях оценивается по следующим критериям:</w:t>
      </w:r>
    </w:p>
    <w:p w:rsidR="00A13229" w:rsidRPr="007807B5" w:rsidRDefault="00A13229" w:rsidP="00A1322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предлагаемые преподавателем;</w:t>
      </w:r>
    </w:p>
    <w:p w:rsidR="00A13229" w:rsidRPr="007807B5" w:rsidRDefault="00A13229" w:rsidP="00A1322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дискуссиях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3229" w:rsidRPr="007807B5" w:rsidRDefault="00A13229" w:rsidP="00A1322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индивидуальных творческих заданий (подготовка эссе, докладов, рефератов);</w:t>
      </w:r>
    </w:p>
    <w:p w:rsidR="00A13229" w:rsidRPr="007807B5" w:rsidRDefault="00A13229" w:rsidP="00A1322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ситуаций.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практических занятий приведена в таблице 1</w:t>
      </w:r>
    </w:p>
    <w:p w:rsidR="00A13229" w:rsidRPr="009C7AC0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– 1. Темы практических занятий (семинаров) для заочной формы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892"/>
        <w:gridCol w:w="992"/>
      </w:tblGrid>
      <w:tr w:rsidR="00A13229" w:rsidRPr="00956016" w:rsidTr="007676DE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№ раздела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Кол-во часов</w:t>
            </w:r>
          </w:p>
        </w:tc>
      </w:tr>
      <w:tr w:rsidR="00A13229" w:rsidRPr="00956016" w:rsidTr="007676DE">
        <w:tc>
          <w:tcPr>
            <w:tcW w:w="1191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8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Основные фонды и </w:t>
            </w:r>
            <w:proofErr w:type="gramStart"/>
            <w:r w:rsidRPr="00956016">
              <w:rPr>
                <w:rFonts w:ascii="Times New Roman" w:eastAsia="Calibri" w:hAnsi="Times New Roman" w:cs="Times New Roman"/>
                <w:sz w:val="24"/>
              </w:rPr>
              <w:t>оборотные средства организации</w:t>
            </w:r>
            <w:proofErr w:type="gramEnd"/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и показатели эффективности использования</w:t>
            </w:r>
          </w:p>
        </w:tc>
        <w:tc>
          <w:tcPr>
            <w:tcW w:w="9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13229" w:rsidRPr="00956016" w:rsidTr="007676DE">
        <w:tc>
          <w:tcPr>
            <w:tcW w:w="1191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8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Персонал предприятия, показатели производительности труда и оплата труда </w:t>
            </w:r>
          </w:p>
        </w:tc>
        <w:tc>
          <w:tcPr>
            <w:tcW w:w="9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13229" w:rsidRPr="00956016" w:rsidTr="007676DE">
        <w:tc>
          <w:tcPr>
            <w:tcW w:w="1191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8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Издержки производства и себестоимость продукции</w:t>
            </w:r>
          </w:p>
        </w:tc>
        <w:tc>
          <w:tcPr>
            <w:tcW w:w="9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13229" w:rsidRPr="00956016" w:rsidTr="007676DE">
        <w:tc>
          <w:tcPr>
            <w:tcW w:w="1191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8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Формирование и распределение прибыли, показатели рентабельности</w:t>
            </w:r>
          </w:p>
        </w:tc>
        <w:tc>
          <w:tcPr>
            <w:tcW w:w="9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13229" w:rsidRPr="00956016" w:rsidTr="007676DE">
        <w:tc>
          <w:tcPr>
            <w:tcW w:w="1191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8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Производственная программа и производственная мощность </w:t>
            </w:r>
          </w:p>
        </w:tc>
        <w:tc>
          <w:tcPr>
            <w:tcW w:w="9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13229" w:rsidRPr="00956016" w:rsidTr="007676DE">
        <w:tc>
          <w:tcPr>
            <w:tcW w:w="1191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8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Ценообразование на предприятии и показатели качества продукции</w:t>
            </w:r>
          </w:p>
        </w:tc>
        <w:tc>
          <w:tcPr>
            <w:tcW w:w="9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13229" w:rsidRPr="00956016" w:rsidTr="007676DE">
        <w:tc>
          <w:tcPr>
            <w:tcW w:w="1191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8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 xml:space="preserve"> Показатели эффективности инвестиционных проектов </w:t>
            </w:r>
          </w:p>
        </w:tc>
        <w:tc>
          <w:tcPr>
            <w:tcW w:w="9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13229" w:rsidRPr="00956016" w:rsidTr="007676DE">
        <w:tc>
          <w:tcPr>
            <w:tcW w:w="1191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8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Показатели эффективности производственно-хозяйственной деятельности и финансового состояния организации (предприятия)</w:t>
            </w:r>
          </w:p>
        </w:tc>
        <w:tc>
          <w:tcPr>
            <w:tcW w:w="9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13229" w:rsidRPr="00956016" w:rsidTr="007676DE">
        <w:tc>
          <w:tcPr>
            <w:tcW w:w="1191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8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13229" w:rsidRPr="00956016" w:rsidRDefault="00A13229" w:rsidP="007676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5601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семинарского занятия является обсуждение вопросов или докладов. В зависимости от формы занятия преподаватель, сформулировав первый вопрос, предлагает выступить желающим или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сделать сообщение, заранее подготовленное студентами. Эффективность семинара во многом зависит от содержания выступлений, докладов, рефератов студентов. Поэтому преподавателю важно определить к ним требования, которые должны быть достаточно четкими и в то же время не настолько регламентированными, чтобы сковывать творческую мысль студентов.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подготовки к практическим занятиям студенту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ребуется предварительная самостоятельная работа по теме планируемого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конспектом, учебником, учебным пособием, чтобы основательно овладеть теорией вопроса.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практическим занятиям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лекционного материала; проработку плана занятия с учетом методических указаний по самостоятельной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самопроверку терминов и понятий; работу с учебной литературой с целью восполнения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 знаний; работу с научной литературой и интернет-ресурсами с целью углубления знаний по отдельным проблемам, вопросам; подготовку сообщений, докладов, рефератов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задач.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практических занятиях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 форме тестирования, контрольных вопросов, самостоятельных работ по решению задач.</w:t>
      </w:r>
    </w:p>
    <w:p w:rsidR="00A13229" w:rsidRPr="007807B5" w:rsidRDefault="00A13229" w:rsidP="00A13229">
      <w:pPr>
        <w:keepNext/>
        <w:keepLines/>
        <w:spacing w:before="360" w:line="36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Методические рекомендации по организации самостоятельной работы обучающихся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(СР)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являясь неотъемлемой частью образовательного процесса, рассматривается как организационная форма обучения или система условий, обеспечивающая управление учебной деятельностью обучающихся, а также деятельность обучающихся, направленная на формирование компетенций, освоение знаний, умений и навыков учебной и научной деятельности без непосредственного участия в этом процессе педагогических работников, относящихся к профессорско-преподавательскому составу университета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Цели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самостоятельной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A13229" w:rsidRPr="007807B5" w:rsidRDefault="00A13229" w:rsidP="00A13229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 студентов;</w:t>
      </w:r>
    </w:p>
    <w:p w:rsidR="00A13229" w:rsidRPr="007807B5" w:rsidRDefault="00A13229" w:rsidP="00A13229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A13229" w:rsidRPr="007807B5" w:rsidRDefault="00A13229" w:rsidP="00A13229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использовать нормативную и справочную документацию, специальную литературу;</w:t>
      </w:r>
    </w:p>
    <w:p w:rsidR="00A13229" w:rsidRPr="007807B5" w:rsidRDefault="00A13229" w:rsidP="00A13229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способностей, активности студентов, ответственности и организованности;</w:t>
      </w:r>
    </w:p>
    <w:p w:rsidR="00A13229" w:rsidRPr="007807B5" w:rsidRDefault="00A13229" w:rsidP="00A13229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самостоятельности мышления, творческой инициативы, способностей к саморазвитию, самосовершенствованию и самореализации;</w:t>
      </w:r>
    </w:p>
    <w:p w:rsidR="00A13229" w:rsidRPr="007807B5" w:rsidRDefault="00A13229" w:rsidP="00A13229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 и академических навыков.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уровня сложности, конкретной тематики.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(СР)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включает использование информационных и материально-технических ресурсов образовательного учреждения.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Положению об организации самостоятельной работы студентов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ОГУ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времени и места проведения, характера руководства со стороны ППС и способов контроля результатов СР делится на следующие формы: </w:t>
      </w:r>
    </w:p>
    <w:p w:rsidR="00A13229" w:rsidRPr="007807B5" w:rsidRDefault="00A13229" w:rsidP="00A1322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аудиторная СР выполняется во время проведения аудиторных занятий (на лекциях, семинарах, практических и лабораторных занятиях) под непосредственным руководством и контролем ППС;</w:t>
      </w:r>
    </w:p>
    <w:p w:rsidR="00A13229" w:rsidRPr="007807B5" w:rsidRDefault="00A13229" w:rsidP="00A1322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внеаудиторная СР — планируемая учебная и научно-исследовательская работа обучающихся, выполняемая во внеаудиторное время под контролем ППС, но без его непосредственного участия, на основе специально разрабатываемого учебно-методического обеспечения;</w:t>
      </w:r>
    </w:p>
    <w:p w:rsidR="00A13229" w:rsidRPr="007807B5" w:rsidRDefault="00A13229" w:rsidP="00A1322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инициативная СР, не предусмотренная учебными планами и учебно-методическими материалами, осуществляется обучающимися с целью реализации собственных учебных и научных интересов. К этому виду СР могут быть отнесены научная работа обучающихся, участие в научных, научно-практических и научно-методических конференциях, семинарах, олимпиадах и т. п. мероприятиях различного уровня.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Конкретные виды СР зависят от цели дисциплины (модуля), объема часов, заданий и контрольных мероприятий, представленных в рабочей программе дисциплины (модуля). 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овладения знаниями: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учебника, первоисточника, дополнительной литературы;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прочитанного материала;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конспектирование раздела учебника/первоисточника по заданной тематике;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учебника/первоисточника;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со словарями и справочниками;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ознакомление с нормативными документами;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информации в сети Интернет и других источниках;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учебно-исследовательская работа;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обобщение опыта. 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СР для выработки умений: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конспектом лекций (обработка текста);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 работа над учебным материалом (учебником, первоисточником, дополнительной литературой, аудио- и видеозаписями);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плана и тезисов ответа, библиографии и др.;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составление таблиц для систематизации учебного материала;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на контрольные вопросы;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аналитическая обработка текста (аннотирование, рецензирование, реферирование и др.);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сообщений к выступлению на семинаре, конференции;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рефератов, докладов, эссе;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самотестирование и др. 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 для формирования навыков (владений):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типовых задач и выполнение упражнений по образцу;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вариативных задач, контрольных работ и выполнение упражнений;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расчетно-графических работ, индивидуальных работ и заданий;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ситуационных производственных (профессиональных) задач; </w:t>
      </w:r>
    </w:p>
    <w:p w:rsidR="00A13229" w:rsidRPr="007807B5" w:rsidRDefault="00A13229" w:rsidP="00A1322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ко всем видам контрольных испытаний, в том числе зачетам и экзаменам;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самостоятельной работы и оценка ее результатов организуется как единство двух форм: самоконтроль и самооценка обучающегося; контроль и оценка со стороны преподавателя. Контроль результатов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форм и методов контроля СР могут выступать: 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 и проверка выполнения самостоятельной работы преподавателем;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самопроверки, взаимопроверки выполненного задания в группе;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результатов выполненной работы на занятии;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письменного опроса;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устного опроса; 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тестирование;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индивидуального собеседования;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собеседования с группой;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проведение семинаров;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работ;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творческих конкурсов;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конференций;</w:t>
      </w:r>
    </w:p>
    <w:p w:rsidR="00A13229" w:rsidRPr="007807B5" w:rsidRDefault="00A13229" w:rsidP="00A1322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олимпиад.</w:t>
      </w: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изучения курса «Экономика организации» выделим следующие виды самостоятельной работы студентов:</w:t>
      </w:r>
    </w:p>
    <w:p w:rsidR="00A13229" w:rsidRPr="007807B5" w:rsidRDefault="00A13229" w:rsidP="00A132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лекций,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3229" w:rsidRPr="007807B5" w:rsidRDefault="00A13229" w:rsidP="00A132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практическим занятиям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(устному опросу, письменному опросу, дискуссии, тестированию,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проработка и повторение лекционного материала и материала учебников и учебных пособий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др.),</w:t>
      </w:r>
    </w:p>
    <w:p w:rsidR="00A13229" w:rsidRPr="007807B5" w:rsidRDefault="00A13229" w:rsidP="00A132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рубежному контролю, </w:t>
      </w:r>
    </w:p>
    <w:p w:rsidR="00A13229" w:rsidRPr="007807B5" w:rsidRDefault="00A13229" w:rsidP="00A132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практических работ по решению задач,</w:t>
      </w:r>
    </w:p>
    <w:p w:rsidR="00A13229" w:rsidRPr="007807B5" w:rsidRDefault="00A13229" w:rsidP="00A132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докладов и информационных сообщений на заданные темы,</w:t>
      </w:r>
    </w:p>
    <w:p w:rsidR="00A13229" w:rsidRPr="007807B5" w:rsidRDefault="00A13229" w:rsidP="00A132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эссе, докладов, рефератов и тезисов на конференции (ИТЗ),</w:t>
      </w:r>
    </w:p>
    <w:p w:rsidR="00A13229" w:rsidRPr="007807B5" w:rsidRDefault="00A13229" w:rsidP="00A132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контрольной работы.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работы по освоению дисциплины должны носить систематический характер и ориентированы на полное выполнение заданий, например проработка и повторение лекционного материала и материала учебников и учебных пособий,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контрольных работ и др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часть работ может быть индивидуально рекомендована преподавателем конкретным студентам для дополнительного изучения отдельных тем (вопросов), а также работ творческого и научно-исследовательского характера, например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написание эссе, подготовка и написание рефератов, докладов, тезисов и других информационных сообщений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профессиональной литературы.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самостоятельной проработке курса обучающиеся должны:</w:t>
      </w:r>
    </w:p>
    <w:p w:rsidR="00A13229" w:rsidRPr="007807B5" w:rsidRDefault="00A13229" w:rsidP="00A132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основные определения и факты;</w:t>
      </w:r>
    </w:p>
    <w:p w:rsidR="00A13229" w:rsidRPr="007807B5" w:rsidRDefault="00A13229" w:rsidP="00A132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A13229" w:rsidRPr="007807B5" w:rsidRDefault="00A13229" w:rsidP="00A132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A13229" w:rsidRPr="007807B5" w:rsidRDefault="00A13229" w:rsidP="00A132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выполнять задания, аналогичные предлагаемым на занятиях;</w:t>
      </w:r>
    </w:p>
    <w:p w:rsidR="00A13229" w:rsidRPr="007807B5" w:rsidRDefault="00A13229" w:rsidP="00A132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самопроверки материалы фонда оценочных средств;</w:t>
      </w:r>
    </w:p>
    <w:p w:rsidR="00A13229" w:rsidRPr="007807B5" w:rsidRDefault="00A13229" w:rsidP="00A132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домашние задания по указанию преподавателя.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Рекомендации по самостоятельной работе с литературой.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учебниками и книгами (самостоятельное теоретическое исследование проблем, обозначенных преподавателем на лекциях) – это важнейшее условие формирования научного способа познания. Основные советы: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перечень книг, с которыми необходимо познакомиться;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все выходные данные по каждой книге (при написании исследовательских работ это позволит сэкономить время);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составлении перечня литературы советоваться с преподавателями и научными руководителями (с более подготовленными и эрудированными сокурсниками), которые помогут лучше сориентироваться;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прочитанные книги, учебники и статьи конспектировать или выписывать кратко основные идеи автора, приводить наиболее яркие и показательные цитаты (с указанием страниц).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вырабатывать способности «воспринимать» сложные тексты, используя прием – «читать медленно» для понимания каждого прочитанного слова (либо с помощью словаря). 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научного текста является частью познавательной деятельности. С наличием различных установок обращения к научному тексту связано существование и нескольких </w:t>
      </w:r>
      <w:r w:rsidRPr="00780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видов чтения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просмотровое –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 для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A13229" w:rsidRPr="007807B5" w:rsidRDefault="00A13229" w:rsidP="00A13229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Вид работы - </w:t>
      </w:r>
      <w:r w:rsidRPr="00780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конспекта</w:t>
      </w:r>
    </w:p>
    <w:p w:rsidR="00A13229" w:rsidRPr="007807B5" w:rsidRDefault="00A13229" w:rsidP="00A1322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обязан вести конспект (рабочую тетрадь).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изложение или краткая запись чего-либо (лекции, книги, статьи и т.п.). Хорошо составленный конспект помогает усвоить материал. В конспекте, кратко излагая основную сущность учебного материала, приводятся необходимые обоснования, табличные данные, схемы, эскизы, расчеты и т.п. Рекомендуется использовать возможность дополнять составленный конспект выписками из новых учебников, журналов, газет, статей, данных из Интернета и других источников. Конспекты представляют большую ценность при подготовке к занятиям, зачетам и экзамену.</w:t>
      </w: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Выполнение домашнего задания</w:t>
      </w: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оценивается по следующим критериям:</w:t>
      </w:r>
    </w:p>
    <w:p w:rsidR="00A13229" w:rsidRPr="007807B5" w:rsidRDefault="00A13229" w:rsidP="00A1322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и уровень выполнения задания;</w:t>
      </w:r>
    </w:p>
    <w:p w:rsidR="00A13229" w:rsidRPr="007807B5" w:rsidRDefault="00A13229" w:rsidP="00A1322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ккуратность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оформлении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работы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3229" w:rsidRPr="007807B5" w:rsidRDefault="00A13229" w:rsidP="00A1322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спользование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специальной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литературы</w:t>
      </w:r>
      <w:proofErr w:type="spellEnd"/>
      <w:r w:rsidRPr="0078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13229" w:rsidRPr="007807B5" w:rsidRDefault="00A13229" w:rsidP="00A132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домашнего задания в срок.</w:t>
      </w:r>
    </w:p>
    <w:p w:rsidR="00A13229" w:rsidRPr="007807B5" w:rsidRDefault="00A13229" w:rsidP="00A132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Методические рекомендации по выполнению индивидуального творческого задания.</w:t>
      </w: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13229" w:rsidRPr="007807B5" w:rsidRDefault="00A13229" w:rsidP="00A132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рефератов.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— индивидуальная письменная работа обучающегося, предполагающая анализ изложения в научных и других источниках определенной научной проблемы или вопроса.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реферата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зрения, обобщения материала, выстраивания логики изложения, выделения главного, формулирования выводов.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реферата студент докладывает на семинаре, кружке, научной конференции. Предварительно подготовив тезисы доклада, студент в течение 10—15 минут должен кратко изложить основные положения своей работы. После доклада автор отвечает на вопросы, затем выступают оппоненты, которые заранее познакомились с текстом реферата, и отмечают его сильные и слабые стороны.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реферат имеет стандартную структуру: титульный лист, содержание, введение, основное содержание темы, заключение, список использованных источников, приложения.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 реферата,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защита реферата перед аудиторией.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докладов и сообщений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(семинарских) занятиях в зависимости от формы и целей обычно практикуется определенная последовательность обсуждения вопросов:</w:t>
      </w:r>
    </w:p>
    <w:p w:rsidR="00A13229" w:rsidRPr="007807B5" w:rsidRDefault="00A13229" w:rsidP="00A13229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(доклад) по вопросу;</w:t>
      </w:r>
    </w:p>
    <w:p w:rsidR="00A13229" w:rsidRPr="007807B5" w:rsidRDefault="00A13229" w:rsidP="00A13229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выступающему;</w:t>
      </w:r>
    </w:p>
    <w:p w:rsidR="00A13229" w:rsidRPr="007807B5" w:rsidRDefault="00A13229" w:rsidP="00A13229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содержания доклада, его теоретических и методических достоинств и недостатков, дополнения и замечания по нему;</w:t>
      </w:r>
    </w:p>
    <w:p w:rsidR="00A13229" w:rsidRPr="007807B5" w:rsidRDefault="00A13229" w:rsidP="00A13229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заключительное слово докладчика; </w:t>
      </w:r>
    </w:p>
    <w:p w:rsidR="00A13229" w:rsidRPr="007807B5" w:rsidRDefault="00A13229" w:rsidP="00A13229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преподавателя.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общая схема может включать развертывание дискуссии по возникшему вопросу и другие элементы.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практическим занятиям студентам рекомендуется подготовка докладов, индивидуальных сообщений.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признаками доклада являются: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передача в устной форме информации;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публичный характер выступления;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стилевая однородность доклада;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четкие формулировки и сотрудничество докладчика и аудитории;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в сжатой форме изложить ключевые положения исследуемого вопроса и сделать выводы.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подготовке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доклада студенту приходится сравнивать, сопоставлять, выявлять логические связи и отношения, применять методы анализа и синтеза, что позволит успешно подготовиться к зачетам, экзаменам и практической деятельности..  Преподаватель может   опираться на метод   коллективного   творчества, если над одной темой работают совместно несколько студентов одной группы, Студенты могут готовить два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 с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противоположными  точками зрения, используя метод докладчика и оппонента.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реферативно-докладной форме практического занятия первыми получают слово ранее намеченные докладчики, а при развернутой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беседе  –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 выступить. Остальным студентам рекомендуется быть готовыми анализировать и дополнять выступавших.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Аудиторией высоко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ценится  свободное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материалом.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требований к любому выступлению примерно таков:</w:t>
      </w:r>
    </w:p>
    <w:p w:rsidR="00A13229" w:rsidRPr="007807B5" w:rsidRDefault="00A13229" w:rsidP="00A1322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выступления с предшествующей темой или вопросом;</w:t>
      </w:r>
    </w:p>
    <w:p w:rsidR="00A13229" w:rsidRPr="007807B5" w:rsidRDefault="00A13229" w:rsidP="00A1322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сущности проблемы;</w:t>
      </w:r>
    </w:p>
    <w:p w:rsidR="00A13229" w:rsidRPr="007807B5" w:rsidRDefault="00A13229" w:rsidP="00A1322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методологическое значение для научной, профессиональной и практической деятельности.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Приводимые докладчиком примеры и факты должны быть существенными, по возможности перекликаться с профилем обучения и областями наук, близких к будущей профессии студента. Четкое вычленение излагаемой проблемы, ее точная формулировка, последовательность аргументации рассматриваемой проблемы, доказательность, непротиворечивость, правильное и содержательное использование понятий и терминов отражают уровень усвоения материала.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анализ выступления, доклада или реферата слушателей оценивается также высоко, как и выступление с хорошим докладом.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докладчику, задаваемые студентами - слушателями должны отвечать определенным требованиям:</w:t>
      </w:r>
    </w:p>
    <w:p w:rsidR="00A13229" w:rsidRPr="007807B5" w:rsidRDefault="00A13229" w:rsidP="00A1322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ясность и четкость формулировок, определенность границ, весомость смысловой нагрузки; </w:t>
      </w:r>
    </w:p>
    <w:p w:rsidR="00A13229" w:rsidRPr="007807B5" w:rsidRDefault="00A13229" w:rsidP="00A1322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докладчику могут быть уточняющими, наводящими, встречными; казусные вопросы могут содержать предпосылки различных суждений, быть примером противоречия. Уточняющие вопросы имеют целью разъяснения положений доклада. Наводящие или направляющие вопросы имеют своей задачей ввести полемику в нужное русло, избежать нежелательных отклонений от сути проблемы. Встречные вопросы содержат требования дополнительной аргументации, формально-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логического анализа выступления или его отдельных положений. Казусные вопросы предлагаются студенту или всей группе в тех случаях, когда в выступлении, докладе проблема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освещена верно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поверхностно и просто.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формируют у студентов умение всесторонне и глубоко обосновывать выдвигаемые положения, способность обнаруживать логические ошибки, обусловившие неубедительность или сомнительность вывода.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эссе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и иных письменных научно - исследовательских работ студентов решает ряд задач: </w:t>
      </w:r>
    </w:p>
    <w:p w:rsidR="00A13229" w:rsidRPr="007807B5" w:rsidRDefault="00A13229" w:rsidP="00A1322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самостоятельному поиску и отбору учебной и специальной научной литературы по предмету; </w:t>
      </w:r>
    </w:p>
    <w:p w:rsidR="00A13229" w:rsidRPr="007807B5" w:rsidRDefault="00A13229" w:rsidP="00A1322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привитие навыков реферирования научных статей по проблематике изучаемых дисциплин; </w:t>
      </w:r>
    </w:p>
    <w:p w:rsidR="00A13229" w:rsidRPr="007807B5" w:rsidRDefault="00A13229" w:rsidP="00A1322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подготовки выступлений и сообщений;</w:t>
      </w:r>
    </w:p>
    <w:p w:rsidR="00A13229" w:rsidRPr="007807B5" w:rsidRDefault="00A13229" w:rsidP="00A1322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выступления на практических занятиях;</w:t>
      </w:r>
    </w:p>
    <w:p w:rsidR="00A13229" w:rsidRPr="007807B5" w:rsidRDefault="00A13229" w:rsidP="00A1322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систематизация, закрепление и расширение теоретических и практических знаний и навыков по изучаемым дисциплинам; </w:t>
      </w:r>
    </w:p>
    <w:p w:rsidR="00A13229" w:rsidRPr="007807B5" w:rsidRDefault="00A13229" w:rsidP="00A1322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студентов к решению проблемных вопросов по избранной теме работы; </w:t>
      </w:r>
    </w:p>
    <w:p w:rsidR="00A13229" w:rsidRPr="007807B5" w:rsidRDefault="00A13229" w:rsidP="00A1322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эссе – это вариант творческой работы, в которой должна быть выражена позиция автора по избранной теме.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  –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 с ней связанные.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выполнения задания: </w:t>
      </w:r>
    </w:p>
    <w:p w:rsidR="00A13229" w:rsidRPr="007807B5" w:rsidRDefault="00A13229" w:rsidP="00A132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тему эссе, если она не задана изначально. </w:t>
      </w:r>
    </w:p>
    <w:p w:rsidR="00A13229" w:rsidRPr="007807B5" w:rsidRDefault="00A13229" w:rsidP="00A132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предмет анализа в эссе или исходные тезисы.</w:t>
      </w:r>
    </w:p>
    <w:p w:rsidR="00A13229" w:rsidRPr="007807B5" w:rsidRDefault="00A13229" w:rsidP="00A132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подобрать и эффективно использовать необходимые источники (желательно, чтобы в их число входили первоисточники). </w:t>
      </w:r>
    </w:p>
    <w:p w:rsidR="00A13229" w:rsidRPr="007807B5" w:rsidRDefault="00A13229" w:rsidP="00A132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 проанализировать различные факты и оценить их интерпретацию. </w:t>
      </w:r>
    </w:p>
    <w:p w:rsidR="00A13229" w:rsidRPr="007807B5" w:rsidRDefault="00A13229" w:rsidP="00A1322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собственные суждения и оценки, основанные на свидетельствах и тщательном изучении источника.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должно включать следующие части, отвечающие определенным требованиям: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Краткое содержание, в котором необходимо: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определить тему и предмет исследования или основные тезисы;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кратко описать структуру и логику развития материала;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сформулировать основные выводы.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эссе содержит основные положения и аргументацию.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следует: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четко выделить результаты исследования и полученные выводы;</w:t>
      </w:r>
    </w:p>
    <w:p w:rsidR="00A13229" w:rsidRPr="007807B5" w:rsidRDefault="00A13229" w:rsidP="00A132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обозначить вопросы, которые не были решены, и новые вопросы, появившиеся в процессе исследования.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Библиография.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задания требуют пояснения: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Прокомментировать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 –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объяснить, какая  идея заключена в отрывке, о какой позиции ее автора она свидетельствует.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Сравнить – выявить сходство и различие позиций по определенным признакам.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Обосновать один из нескольких предложенных вариантов ответа – привести аргументы в пользу правильности выбранного варианта ответа и указать, в чем ошибочность других вариантов.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Аргументировать (обосновать, доказать, объяснить) ответ – значит: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оправдать (опровергнуть) некоторую точку зрения;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обосновать свою точку зрения, опираясь на теоретические или практические обобщения, данные и т.д.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Провести анализ – разложить изучаемые явления на составные части, сопоставить их с целью выявления в них существенного, необходимого и определяющего.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Тезисно изложить идею, концепцию, </w:t>
      </w:r>
      <w:proofErr w:type="gramStart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 –</w:t>
      </w:r>
      <w:proofErr w:type="gramEnd"/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используя материал учебных пособий и другой литературы,  кратко, но не в ущерб содержанию сформулировать основные положения учения.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Дать характеристику, охарактеризовать явления – значит назвать существенные, необходимые признаки какого-либо явления (положения какой-либо теории) и выявить особенности. </w:t>
      </w:r>
    </w:p>
    <w:p w:rsidR="00A13229" w:rsidRPr="007807B5" w:rsidRDefault="00A13229" w:rsidP="00A13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8.  Изобразить схематически – значит раскрыть содержание ответа в виде таблицы, рисунка, диаграммы и других графических форм.</w:t>
      </w:r>
    </w:p>
    <w:p w:rsidR="00A13229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оригинальность, актуальность и полнота использованных источников, системность излагаемого материала, логика изложения и убедительность аргументации, оформление, своевременность срока сдачи, выступление перед аудиторией.</w:t>
      </w:r>
    </w:p>
    <w:p w:rsidR="00A13229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Методические рекомендации по выполнению контрольных работ</w:t>
      </w:r>
    </w:p>
    <w:p w:rsidR="00A13229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включает следующие задания:</w:t>
      </w:r>
    </w:p>
    <w:p w:rsidR="00A13229" w:rsidRPr="006A4955" w:rsidRDefault="00A13229" w:rsidP="00A13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репродуктивного уровня, позволяющие оценивать и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диагностировать  знание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фактического материала (базовые понятия, 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алгоритмы, факты) и умение правильно использовать специальные термины и понятия, узнавание объектов изучения в рамках определенного раздела. Для их </w:t>
      </w:r>
      <w:proofErr w:type="gramStart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 предлагается</w:t>
      </w:r>
      <w:proofErr w:type="gramEnd"/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по материалу разделов курса и письменный ответ на теоретический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229" w:rsidRPr="006A4955" w:rsidRDefault="00A13229" w:rsidP="00A13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связей, для выполнения которых предлагается решение типовых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229" w:rsidRPr="006A4955" w:rsidRDefault="00A13229" w:rsidP="00A132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стное собеседование, позволяющее оценивать и диагностировать умения, интегрировать знания различных областей, аргументировать собственную точку зрения, делать выводы и аргументировать полученные результаты. </w:t>
      </w:r>
    </w:p>
    <w:p w:rsidR="00A13229" w:rsidRDefault="00A13229" w:rsidP="00A13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студентом по одному из предлагаемых вариантов.</w:t>
      </w:r>
      <w:r w:rsidRPr="007807B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Вариант выбирается согласно букве алфавита, с которой начинается фамилия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A1322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Работа включает три задания.</w:t>
      </w: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7807B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первому заданию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необходимо </w:t>
      </w:r>
      <w:proofErr w:type="gramStart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дать  полный</w:t>
      </w:r>
      <w:proofErr w:type="gramEnd"/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письменный ответ на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проблемный теоретический 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вопрос, который соответствует номеру варианта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</w:t>
      </w:r>
    </w:p>
    <w:p w:rsidR="00A13229" w:rsidRPr="006A4955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807B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Второе задание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предполагает выбор правильных вариантов ответа по тестовым заданиям. Рекомендуется обязательно прилагать содержание вопроса и верного ответа.</w:t>
      </w:r>
    </w:p>
    <w:p w:rsidR="00A13229" w:rsidRDefault="00A13229" w:rsidP="00A13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7807B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третьему заданию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необходимо привести полное решение предлагаемых задач, сделать выводы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r w:rsidRPr="006A4955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A1322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13229" w:rsidRPr="00EF6D9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Примеры заданий контрольной работы</w:t>
      </w:r>
    </w:p>
    <w:p w:rsidR="00A13229" w:rsidRPr="00EF6D9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13229" w:rsidRPr="00EF6D9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Пример задания 1. </w:t>
      </w: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Раскрыть </w:t>
      </w:r>
      <w:proofErr w:type="gramStart"/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содержание  теоретического</w:t>
      </w:r>
      <w:proofErr w:type="gramEnd"/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вопроса:</w:t>
      </w:r>
    </w:p>
    <w:p w:rsidR="00A13229" w:rsidRPr="00EF6D9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«Производственная и организационная структура предприятия и формирующие ее факторы».</w:t>
      </w:r>
    </w:p>
    <w:p w:rsidR="00A13229" w:rsidRPr="00EF6D9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13229" w:rsidRPr="00EF6D9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Пример задания 2.</w:t>
      </w: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Указать   правильные варианты ответа на тестовые задания:</w:t>
      </w:r>
    </w:p>
    <w:p w:rsidR="001F38B6" w:rsidRPr="001F38B6" w:rsidRDefault="00A13229" w:rsidP="001F38B6">
      <w:pPr>
        <w:widowControl w:val="0"/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1) </w:t>
      </w:r>
      <w:r w:rsidR="001F38B6" w:rsidRPr="001F3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Группа качественно однородных хозяйственных единиц, предприятий, организаций, характеризующими особыми </w:t>
      </w:r>
      <w:proofErr w:type="gramStart"/>
      <w:r w:rsidR="001F38B6" w:rsidRPr="001F38B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условиями  производства</w:t>
      </w:r>
      <w:proofErr w:type="gramEnd"/>
      <w:r w:rsidR="001F38B6" w:rsidRPr="001F3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системе общественного разделения труда, однородной продукцией и выполняющую общую функцию в национальном хозяйстве, это…</w:t>
      </w:r>
    </w:p>
    <w:p w:rsidR="001F38B6" w:rsidRPr="001F38B6" w:rsidRDefault="001F38B6" w:rsidP="00257336">
      <w:pPr>
        <w:widowControl w:val="0"/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отрасль экономики;        </w:t>
      </w:r>
    </w:p>
    <w:p w:rsidR="001F38B6" w:rsidRPr="001F38B6" w:rsidRDefault="001F38B6" w:rsidP="00257336">
      <w:pPr>
        <w:widowControl w:val="0"/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8B6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сфера экономики;</w:t>
      </w:r>
    </w:p>
    <w:p w:rsidR="00A13229" w:rsidRPr="00EF6D99" w:rsidRDefault="001F38B6" w:rsidP="001F38B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1F38B6">
        <w:rPr>
          <w:rFonts w:ascii="Times New Roman" w:eastAsia="Times New Roman" w:hAnsi="Times New Roman" w:cs="Times New Roman"/>
          <w:sz w:val="28"/>
          <w:szCs w:val="24"/>
          <w:lang w:eastAsia="ru-RU"/>
        </w:rPr>
        <w:t>в) сектор экономики</w:t>
      </w:r>
    </w:p>
    <w:p w:rsidR="001F38B6" w:rsidRPr="001F38B6" w:rsidRDefault="00A13229" w:rsidP="001F38B6">
      <w:pPr>
        <w:widowControl w:val="0"/>
        <w:tabs>
          <w:tab w:val="left" w:pos="0"/>
        </w:tabs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2) </w:t>
      </w:r>
      <w:proofErr w:type="gramStart"/>
      <w:r w:rsidR="001F38B6"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Какие  из</w:t>
      </w:r>
      <w:proofErr w:type="gramEnd"/>
      <w:r w:rsidR="001F38B6"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перечисленных  позиций  </w:t>
      </w:r>
      <w:r w:rsidR="0025733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относят к</w:t>
      </w:r>
      <w:r w:rsidR="001F38B6"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основны</w:t>
      </w:r>
      <w:r w:rsidR="0025733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</w:t>
      </w:r>
      <w:r w:rsidR="001F38B6"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производственны</w:t>
      </w:r>
      <w:r w:rsidR="0025733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</w:t>
      </w:r>
      <w:r w:rsidR="001F38B6"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фонд</w:t>
      </w:r>
      <w:r w:rsidR="0025733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ам</w:t>
      </w:r>
      <w:r w:rsidR="001F38B6"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1F38B6" w:rsidRPr="001F38B6" w:rsidRDefault="001F38B6" w:rsidP="001F38B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а) здания, сооружения, передаточные устройства;</w:t>
      </w:r>
    </w:p>
    <w:p w:rsidR="001F38B6" w:rsidRPr="001F38B6" w:rsidRDefault="001F38B6" w:rsidP="001F38B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незавершенное производство;</w:t>
      </w:r>
    </w:p>
    <w:p w:rsidR="001F38B6" w:rsidRPr="001F38B6" w:rsidRDefault="001F38B6" w:rsidP="001F38B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машины и оборудование;</w:t>
      </w:r>
    </w:p>
    <w:p w:rsidR="001F38B6" w:rsidRPr="001F38B6" w:rsidRDefault="001F38B6" w:rsidP="001F38B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г) транспортные средства;</w:t>
      </w:r>
    </w:p>
    <w:p w:rsidR="001F38B6" w:rsidRPr="001F38B6" w:rsidRDefault="001F38B6" w:rsidP="001F38B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</w:t>
      </w:r>
      <w:proofErr w:type="gramStart"/>
      <w:r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производственный  и</w:t>
      </w:r>
      <w:proofErr w:type="gramEnd"/>
      <w:r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хозяйственный инвентарь;</w:t>
      </w:r>
    </w:p>
    <w:p w:rsidR="001F38B6" w:rsidRPr="001F38B6" w:rsidRDefault="001F38B6" w:rsidP="001F38B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1F38B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е) готовая продукция.</w:t>
      </w:r>
    </w:p>
    <w:p w:rsidR="00A13229" w:rsidRPr="00EF6D99" w:rsidRDefault="00A13229" w:rsidP="001F38B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257336" w:rsidRPr="00257336" w:rsidRDefault="00A13229" w:rsidP="00257336">
      <w:pPr>
        <w:pStyle w:val="2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3) </w:t>
      </w:r>
      <w:r w:rsidR="00257336" w:rsidRPr="0025733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какому признаку затраты на производство продукции относятся к прямым и косвенным затратам?</w:t>
      </w:r>
    </w:p>
    <w:p w:rsidR="00257336" w:rsidRPr="00257336" w:rsidRDefault="00257336" w:rsidP="0025733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25733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в зависимости от объема производства;</w:t>
      </w:r>
    </w:p>
    <w:p w:rsidR="00257336" w:rsidRPr="00257336" w:rsidRDefault="00257336" w:rsidP="0025733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25733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по роли затрат в процессе производства;</w:t>
      </w:r>
    </w:p>
    <w:p w:rsidR="00257336" w:rsidRPr="00257336" w:rsidRDefault="00257336" w:rsidP="0025733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257336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в) по способу отнесения затрат на готовую продукцию.</w:t>
      </w:r>
    </w:p>
    <w:p w:rsidR="00A13229" w:rsidRPr="00EF6D99" w:rsidRDefault="00A13229" w:rsidP="00257336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13229" w:rsidRPr="00EF6D9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13229" w:rsidRPr="00EF6D9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 др.</w:t>
      </w:r>
    </w:p>
    <w:p w:rsidR="00A13229" w:rsidRPr="00EF6D9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A13229" w:rsidRPr="00EF6D9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6D99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Пример задания 3.</w:t>
      </w:r>
      <w:r w:rsidRPr="00EF6D9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Привести решение задачи и обосновать выводы.</w:t>
      </w:r>
    </w:p>
    <w:p w:rsidR="00A13229" w:rsidRPr="00EF6D99" w:rsidRDefault="00A13229" w:rsidP="00A13229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CE0B32" w:rsidRPr="00CE0B32" w:rsidRDefault="00A13229" w:rsidP="00CE0B32">
      <w:pPr>
        <w:pStyle w:val="3"/>
        <w:tabs>
          <w:tab w:val="left" w:pos="0"/>
          <w:tab w:val="num" w:pos="2410"/>
        </w:tabs>
        <w:ind w:left="0" w:firstLine="360"/>
        <w:rPr>
          <w:sz w:val="28"/>
        </w:rPr>
      </w:pPr>
      <w:r w:rsidRPr="00EF6D99">
        <w:rPr>
          <w:snapToGrid w:val="0"/>
          <w:sz w:val="28"/>
          <w:szCs w:val="24"/>
        </w:rPr>
        <w:t xml:space="preserve"> </w:t>
      </w:r>
      <w:r w:rsidR="00CE0B32" w:rsidRPr="00CE0B32">
        <w:rPr>
          <w:sz w:val="28"/>
        </w:rPr>
        <w:t xml:space="preserve">У </w:t>
      </w:r>
      <w:proofErr w:type="gramStart"/>
      <w:r w:rsidR="00CE0B32" w:rsidRPr="00CE0B32">
        <w:rPr>
          <w:sz w:val="28"/>
        </w:rPr>
        <w:t>предприятия  имеются</w:t>
      </w:r>
      <w:proofErr w:type="gramEnd"/>
      <w:r w:rsidR="00CE0B32" w:rsidRPr="00CE0B32">
        <w:rPr>
          <w:sz w:val="28"/>
        </w:rPr>
        <w:t xml:space="preserve">  следующие 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2142"/>
      </w:tblGrid>
      <w:tr w:rsidR="00CE0B32" w:rsidRPr="00CE0B32" w:rsidTr="007676DE">
        <w:tc>
          <w:tcPr>
            <w:tcW w:w="6487" w:type="dxa"/>
          </w:tcPr>
          <w:p w:rsidR="00CE0B32" w:rsidRPr="00CE0B32" w:rsidRDefault="00CE0B32" w:rsidP="00CE0B32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Показатели </w:t>
            </w:r>
          </w:p>
        </w:tc>
        <w:tc>
          <w:tcPr>
            <w:tcW w:w="1559" w:type="dxa"/>
          </w:tcPr>
          <w:p w:rsidR="00CE0B32" w:rsidRPr="00CE0B32" w:rsidRDefault="00CE0B32" w:rsidP="00CE0B32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План на год </w:t>
            </w:r>
          </w:p>
        </w:tc>
        <w:tc>
          <w:tcPr>
            <w:tcW w:w="2142" w:type="dxa"/>
          </w:tcPr>
          <w:p w:rsidR="00CE0B32" w:rsidRPr="00CE0B32" w:rsidRDefault="00CE0B32" w:rsidP="00CE0B32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За отчетный год</w:t>
            </w:r>
          </w:p>
        </w:tc>
      </w:tr>
      <w:tr w:rsidR="00CE0B32" w:rsidRPr="00CE0B32" w:rsidTr="007676DE">
        <w:tc>
          <w:tcPr>
            <w:tcW w:w="6487" w:type="dxa"/>
          </w:tcPr>
          <w:p w:rsidR="00CE0B32" w:rsidRPr="00CE0B32" w:rsidRDefault="00CE0B32" w:rsidP="00CE0B32">
            <w:pPr>
              <w:tabs>
                <w:tab w:val="left" w:pos="0"/>
                <w:tab w:val="num" w:pos="24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1. Средние </w:t>
            </w:r>
            <w:proofErr w:type="gramStart"/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остатки  оборотных</w:t>
            </w:r>
            <w:proofErr w:type="gramEnd"/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средств ( тыс. руб.)</w:t>
            </w:r>
          </w:p>
        </w:tc>
        <w:tc>
          <w:tcPr>
            <w:tcW w:w="1559" w:type="dxa"/>
          </w:tcPr>
          <w:p w:rsidR="00CE0B32" w:rsidRPr="00CE0B32" w:rsidRDefault="00CE0B32" w:rsidP="00CE0B32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6200</w:t>
            </w:r>
          </w:p>
        </w:tc>
        <w:tc>
          <w:tcPr>
            <w:tcW w:w="2142" w:type="dxa"/>
          </w:tcPr>
          <w:p w:rsidR="00CE0B32" w:rsidRPr="00CE0B32" w:rsidRDefault="00CE0B32" w:rsidP="00CE0B32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5930</w:t>
            </w:r>
          </w:p>
        </w:tc>
      </w:tr>
      <w:tr w:rsidR="00CE0B32" w:rsidRPr="00CE0B32" w:rsidTr="007676DE">
        <w:tc>
          <w:tcPr>
            <w:tcW w:w="6487" w:type="dxa"/>
          </w:tcPr>
          <w:p w:rsidR="00CE0B32" w:rsidRPr="00CE0B32" w:rsidRDefault="00CE0B32" w:rsidP="00CE0B32">
            <w:pPr>
              <w:tabs>
                <w:tab w:val="left" w:pos="0"/>
                <w:tab w:val="num" w:pos="241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2. Выручка от </w:t>
            </w:r>
            <w:proofErr w:type="gramStart"/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реализации  продукции</w:t>
            </w:r>
            <w:proofErr w:type="gramEnd"/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59" w:type="dxa"/>
          </w:tcPr>
          <w:p w:rsidR="00CE0B32" w:rsidRPr="00CE0B32" w:rsidRDefault="00CE0B32" w:rsidP="00CE0B32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71000</w:t>
            </w:r>
          </w:p>
        </w:tc>
        <w:tc>
          <w:tcPr>
            <w:tcW w:w="2142" w:type="dxa"/>
          </w:tcPr>
          <w:p w:rsidR="00CE0B32" w:rsidRPr="00CE0B32" w:rsidRDefault="00CE0B32" w:rsidP="00CE0B32">
            <w:pPr>
              <w:tabs>
                <w:tab w:val="left" w:pos="0"/>
                <w:tab w:val="num" w:pos="241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CE0B3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72300</w:t>
            </w:r>
          </w:p>
        </w:tc>
      </w:tr>
    </w:tbl>
    <w:p w:rsidR="00CE0B32" w:rsidRPr="00CE0B32" w:rsidRDefault="00CE0B32" w:rsidP="00CE0B32">
      <w:pPr>
        <w:tabs>
          <w:tab w:val="left" w:pos="0"/>
          <w:tab w:val="num" w:pos="2410"/>
        </w:tabs>
        <w:spacing w:after="120" w:line="240" w:lineRule="auto"/>
        <w:ind w:firstLine="360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gramStart"/>
      <w:r w:rsidRPr="00CE0B32">
        <w:rPr>
          <w:rFonts w:ascii="Times New Roman" w:eastAsia="Times New Roman" w:hAnsi="Times New Roman" w:cs="Times New Roman"/>
          <w:sz w:val="28"/>
          <w:szCs w:val="16"/>
          <w:lang w:eastAsia="ru-RU"/>
        </w:rPr>
        <w:t>Определите  коэффициент</w:t>
      </w:r>
      <w:proofErr w:type="gramEnd"/>
      <w:r w:rsidRPr="00CE0B3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оборачиваемости  оборотных средств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, коэффициент закрепления</w:t>
      </w:r>
      <w:r w:rsidRPr="00CE0B3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длительность 1 оборота по плану и по отчету, сделайте выводы об изменении эффективности использования оборотных средств.</w:t>
      </w:r>
    </w:p>
    <w:p w:rsidR="00CE0B32" w:rsidRDefault="00CE0B32" w:rsidP="00CE0B32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229" w:rsidRDefault="00A13229" w:rsidP="00CE0B32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Оценивание по дисциплине</w:t>
      </w:r>
    </w:p>
    <w:p w:rsidR="00CE0B32" w:rsidRPr="007807B5" w:rsidRDefault="00CE0B32" w:rsidP="00CE0B32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определения оценки служит уровень освоения студентами материала, предусмотренного рабочей программой дисциплины. </w:t>
      </w: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по результатам промежуточной аттестации учитывает результаты рубежного контроля успеваемости, которые в свою очередь основываются на оценках по текущей успеваемости и рубежного контроля.</w:t>
      </w:r>
      <w:r w:rsidRPr="0078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 проводится по билетам</w:t>
      </w: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тестовым заданиям. 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 предоставляется право задавать студентам дополнительные вопросы сверх билета, а также, помимо теоретических вопросов, давать для решения задачи и примеры, связанные с курсом. Для проведения экзамена могут использоваться технические средства.</w:t>
      </w:r>
    </w:p>
    <w:p w:rsidR="00A13229" w:rsidRPr="007807B5" w:rsidRDefault="00A13229" w:rsidP="00A132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Оценки ставятся по 5-балльной шкале. Итоговая оценка выставляется в ведомость согласно следующему правилу:</w:t>
      </w:r>
    </w:p>
    <w:tbl>
      <w:tblPr>
        <w:tblStyle w:val="table1"/>
        <w:tblW w:w="952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394"/>
        <w:gridCol w:w="2410"/>
        <w:gridCol w:w="1724"/>
      </w:tblGrid>
      <w:tr w:rsidR="00A13229" w:rsidRPr="007807B5" w:rsidTr="007676DE">
        <w:tc>
          <w:tcPr>
            <w:tcW w:w="5394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Критерии</w:t>
            </w:r>
            <w:proofErr w:type="spellEnd"/>
            <w:r w:rsidRPr="007807B5">
              <w:rPr>
                <w:sz w:val="28"/>
                <w:szCs w:val="28"/>
              </w:rPr>
              <w:t xml:space="preserve"> </w:t>
            </w:r>
            <w:proofErr w:type="spellStart"/>
            <w:r w:rsidRPr="007807B5">
              <w:rPr>
                <w:sz w:val="28"/>
                <w:szCs w:val="28"/>
              </w:rPr>
              <w:t>оценивания</w:t>
            </w:r>
            <w:proofErr w:type="spellEnd"/>
            <w:r w:rsidRPr="007807B5">
              <w:rPr>
                <w:sz w:val="28"/>
                <w:szCs w:val="28"/>
              </w:rPr>
              <w:t xml:space="preserve"> </w:t>
            </w:r>
            <w:proofErr w:type="spellStart"/>
            <w:r w:rsidRPr="007807B5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2410" w:type="dxa"/>
          </w:tcPr>
          <w:p w:rsidR="00A13229" w:rsidRPr="007807B5" w:rsidRDefault="00A13229" w:rsidP="007676DE">
            <w:pPr>
              <w:spacing w:after="0" w:line="240" w:lineRule="auto"/>
              <w:ind w:right="-473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Уровень</w:t>
            </w:r>
            <w:proofErr w:type="spellEnd"/>
            <w:r w:rsidRPr="007807B5">
              <w:rPr>
                <w:sz w:val="28"/>
                <w:szCs w:val="28"/>
              </w:rPr>
              <w:t xml:space="preserve"> </w:t>
            </w:r>
            <w:proofErr w:type="spellStart"/>
            <w:r w:rsidRPr="007807B5">
              <w:rPr>
                <w:sz w:val="28"/>
                <w:szCs w:val="28"/>
              </w:rPr>
              <w:t>сформиро</w:t>
            </w:r>
            <w:proofErr w:type="spellEnd"/>
            <w:r w:rsidRPr="007807B5">
              <w:rPr>
                <w:sz w:val="28"/>
                <w:szCs w:val="28"/>
              </w:rPr>
              <w:t>-</w:t>
            </w:r>
          </w:p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ванности</w:t>
            </w:r>
            <w:proofErr w:type="spellEnd"/>
            <w:r w:rsidRPr="007807B5">
              <w:rPr>
                <w:sz w:val="28"/>
                <w:szCs w:val="28"/>
              </w:rPr>
              <w:t xml:space="preserve"> </w:t>
            </w:r>
            <w:proofErr w:type="spellStart"/>
            <w:r w:rsidRPr="007807B5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1724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Итоговая</w:t>
            </w:r>
            <w:proofErr w:type="spellEnd"/>
            <w:r w:rsidRPr="007807B5">
              <w:rPr>
                <w:sz w:val="28"/>
                <w:szCs w:val="28"/>
              </w:rPr>
              <w:t xml:space="preserve"> </w:t>
            </w:r>
            <w:proofErr w:type="spellStart"/>
            <w:r w:rsidRPr="007807B5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A13229" w:rsidRPr="007807B5" w:rsidTr="007676DE">
        <w:tc>
          <w:tcPr>
            <w:tcW w:w="5394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07B5">
              <w:rPr>
                <w:sz w:val="28"/>
                <w:szCs w:val="28"/>
                <w:lang w:val="ru-RU"/>
              </w:rPr>
              <w:t>Обучающийся не владеет теоретическими основами дисциплины и научной терминологией, демонстрирует отрывочные знания, не способен иллюстрировать ответ примерами, допускает множественные существенные ошибки в ответе.</w:t>
            </w:r>
          </w:p>
        </w:tc>
        <w:tc>
          <w:tcPr>
            <w:tcW w:w="2410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недопустимый</w:t>
            </w:r>
            <w:proofErr w:type="spellEnd"/>
          </w:p>
        </w:tc>
        <w:tc>
          <w:tcPr>
            <w:tcW w:w="1724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неудовлетворительно</w:t>
            </w:r>
            <w:proofErr w:type="spellEnd"/>
          </w:p>
        </w:tc>
      </w:tr>
      <w:tr w:rsidR="00A13229" w:rsidRPr="007807B5" w:rsidTr="007676DE">
        <w:tc>
          <w:tcPr>
            <w:tcW w:w="5394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07B5">
              <w:rPr>
                <w:sz w:val="28"/>
                <w:szCs w:val="28"/>
                <w:lang w:val="ru-RU"/>
              </w:rPr>
              <w:t>Обучающийся владеет частично теоретическими основами дисциплины и научной терминологией, фрагментарно способен иллюстрировать ответ примерами, допускает несколько существенных ошибок в ответе.</w:t>
            </w:r>
          </w:p>
        </w:tc>
        <w:tc>
          <w:tcPr>
            <w:tcW w:w="2410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пороговый</w:t>
            </w:r>
            <w:proofErr w:type="spellEnd"/>
          </w:p>
        </w:tc>
        <w:tc>
          <w:tcPr>
            <w:tcW w:w="1724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удовлетворительно</w:t>
            </w:r>
            <w:proofErr w:type="spellEnd"/>
          </w:p>
        </w:tc>
      </w:tr>
      <w:tr w:rsidR="00A13229" w:rsidRPr="007807B5" w:rsidTr="007676DE">
        <w:tc>
          <w:tcPr>
            <w:tcW w:w="5394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07B5">
              <w:rPr>
                <w:sz w:val="28"/>
                <w:szCs w:val="28"/>
                <w:lang w:val="ru-RU"/>
              </w:rPr>
              <w:t>Обучающийся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задач, но допускает отдельные несущественные ошибки.</w:t>
            </w:r>
          </w:p>
        </w:tc>
        <w:tc>
          <w:tcPr>
            <w:tcW w:w="2410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базовый</w:t>
            </w:r>
            <w:proofErr w:type="spellEnd"/>
          </w:p>
        </w:tc>
        <w:tc>
          <w:tcPr>
            <w:tcW w:w="1724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хорошо</w:t>
            </w:r>
            <w:proofErr w:type="spellEnd"/>
          </w:p>
        </w:tc>
      </w:tr>
      <w:tr w:rsidR="00A13229" w:rsidRPr="007807B5" w:rsidTr="007676DE">
        <w:tc>
          <w:tcPr>
            <w:tcW w:w="5394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7807B5">
              <w:rPr>
                <w:sz w:val="28"/>
                <w:szCs w:val="28"/>
                <w:lang w:val="ru-RU"/>
              </w:rPr>
              <w:t>Обучающийся в полной мере владеет теоретическими основами дисциплины и научной терминологией, грамотно излагает материал и способен иллюстрировать ответ примерами, фактами, данными научных исследований, применять теоретические знания для решения практических задач.</w:t>
            </w:r>
          </w:p>
        </w:tc>
        <w:tc>
          <w:tcPr>
            <w:tcW w:w="2410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повышенный</w:t>
            </w:r>
            <w:proofErr w:type="spellEnd"/>
          </w:p>
        </w:tc>
        <w:tc>
          <w:tcPr>
            <w:tcW w:w="1724" w:type="dxa"/>
          </w:tcPr>
          <w:p w:rsidR="00A13229" w:rsidRPr="007807B5" w:rsidRDefault="00A13229" w:rsidP="007676D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7807B5">
              <w:rPr>
                <w:sz w:val="28"/>
                <w:szCs w:val="28"/>
              </w:rPr>
              <w:t>отлично</w:t>
            </w:r>
            <w:proofErr w:type="spellEnd"/>
          </w:p>
        </w:tc>
      </w:tr>
    </w:tbl>
    <w:p w:rsidR="00A13229" w:rsidRPr="007807B5" w:rsidRDefault="00A13229" w:rsidP="00A13229">
      <w:pPr>
        <w:keepNext/>
        <w:spacing w:before="240" w:line="360" w:lineRule="auto"/>
        <w:ind w:left="72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A13229" w:rsidRDefault="00A13229" w:rsidP="00A13229"/>
    <w:p w:rsidR="00A13229" w:rsidRDefault="00A13229"/>
    <w:sectPr w:rsidR="00A13229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61" w:rsidRDefault="00B44A61">
      <w:pPr>
        <w:spacing w:after="0" w:line="240" w:lineRule="auto"/>
      </w:pPr>
      <w:r>
        <w:separator/>
      </w:r>
    </w:p>
  </w:endnote>
  <w:endnote w:type="continuationSeparator" w:id="0">
    <w:p w:rsidR="00B44A61" w:rsidRDefault="00B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138" w:rsidRDefault="00CE0B32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61" w:rsidRDefault="00B44A61">
      <w:pPr>
        <w:spacing w:after="0" w:line="240" w:lineRule="auto"/>
      </w:pPr>
      <w:r>
        <w:separator/>
      </w:r>
    </w:p>
  </w:footnote>
  <w:footnote w:type="continuationSeparator" w:id="0">
    <w:p w:rsidR="00B44A61" w:rsidRDefault="00B4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792"/>
    <w:multiLevelType w:val="hybridMultilevel"/>
    <w:tmpl w:val="5128D21A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B4EB1"/>
    <w:multiLevelType w:val="hybridMultilevel"/>
    <w:tmpl w:val="41502652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6DAE"/>
    <w:multiLevelType w:val="multilevel"/>
    <w:tmpl w:val="05DAD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70E66"/>
    <w:multiLevelType w:val="hybridMultilevel"/>
    <w:tmpl w:val="1848D89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1E4645"/>
    <w:multiLevelType w:val="hybridMultilevel"/>
    <w:tmpl w:val="1AE8BC1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C32133"/>
    <w:multiLevelType w:val="hybridMultilevel"/>
    <w:tmpl w:val="A5E60E0C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873E3A"/>
    <w:multiLevelType w:val="multilevel"/>
    <w:tmpl w:val="00728A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73A12"/>
    <w:multiLevelType w:val="hybridMultilevel"/>
    <w:tmpl w:val="131C9DB0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6A7C9F"/>
    <w:multiLevelType w:val="hybridMultilevel"/>
    <w:tmpl w:val="8780CBC2"/>
    <w:lvl w:ilvl="0" w:tplc="052A6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5F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E87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9EFB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A88BF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D4A8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922D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2CD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5823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034D45"/>
    <w:multiLevelType w:val="hybridMultilevel"/>
    <w:tmpl w:val="F9C4898E"/>
    <w:lvl w:ilvl="0" w:tplc="FFFFFFF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A6989"/>
    <w:multiLevelType w:val="hybridMultilevel"/>
    <w:tmpl w:val="FE4C5D5C"/>
    <w:lvl w:ilvl="0" w:tplc="052A6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29"/>
    <w:rsid w:val="001F38B6"/>
    <w:rsid w:val="00257336"/>
    <w:rsid w:val="00A13229"/>
    <w:rsid w:val="00B44A61"/>
    <w:rsid w:val="00CE0B32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7EC"/>
  <w15:chartTrackingRefBased/>
  <w15:docId w15:val="{7979CAE1-7882-4839-A477-3A3D0345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A13229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2573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7336"/>
  </w:style>
  <w:style w:type="paragraph" w:styleId="3">
    <w:name w:val="Body Text Indent 3"/>
    <w:basedOn w:val="a"/>
    <w:link w:val="30"/>
    <w:rsid w:val="00CE0B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E0B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</dc:creator>
  <cp:keywords/>
  <dc:description/>
  <cp:lastModifiedBy>Кадрия</cp:lastModifiedBy>
  <cp:revision>3</cp:revision>
  <dcterms:created xsi:type="dcterms:W3CDTF">2019-10-17T07:18:00Z</dcterms:created>
  <dcterms:modified xsi:type="dcterms:W3CDTF">2019-10-24T16:38:00Z</dcterms:modified>
</cp:coreProperties>
</file>