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0E54FF">
        <w:rPr>
          <w:i/>
          <w:sz w:val="24"/>
        </w:rPr>
        <w:t>Б.15 Зоология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130ED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C5A28">
        <w:rPr>
          <w:sz w:val="24"/>
        </w:rPr>
        <w:t>201</w:t>
      </w:r>
      <w:r w:rsidR="00130EDB">
        <w:rPr>
          <w:sz w:val="24"/>
        </w:rPr>
        <w:t>9</w:t>
      </w:r>
    </w:p>
    <w:p w:rsidR="008D4D99" w:rsidRDefault="000E54F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Зоология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FC5A28">
        <w:rPr>
          <w:sz w:val="28"/>
          <w:szCs w:val="20"/>
        </w:rPr>
        <w:t>201</w:t>
      </w:r>
      <w:r w:rsidR="00130EDB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C5A28">
        <w:rPr>
          <w:rFonts w:ascii="Times New Roman" w:hAnsi="Times New Roman" w:cs="Times New Roman"/>
          <w:sz w:val="28"/>
          <w:szCs w:val="28"/>
        </w:rPr>
        <w:t>201</w:t>
      </w:r>
      <w:r w:rsidR="00130EDB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0E54FF">
        <w:rPr>
          <w:rFonts w:ascii="Times New Roman" w:hAnsi="Times New Roman" w:cs="Times New Roman"/>
          <w:sz w:val="28"/>
          <w:szCs w:val="28"/>
        </w:rPr>
        <w:t>Б.15 Зооло</w:t>
      </w:r>
      <w:r w:rsidR="00D300B3">
        <w:rPr>
          <w:rFonts w:ascii="Times New Roman" w:hAnsi="Times New Roman" w:cs="Times New Roman"/>
          <w:sz w:val="28"/>
          <w:szCs w:val="28"/>
        </w:rPr>
        <w:t>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37C6A" w:rsidRDefault="00937C6A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02DC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E54FF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31A5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0E54FF" w:rsidTr="001956A5">
        <w:tc>
          <w:tcPr>
            <w:tcW w:w="1101" w:type="dxa"/>
          </w:tcPr>
          <w:p w:rsidR="00367416" w:rsidRPr="00E02DC5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02DC5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02DC5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02DC5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937C6A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02DC5" w:rsidP="00FA7AC8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37C6A" w:rsidRDefault="00937C6A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37C6A" w:rsidRDefault="00937C6A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E54FF" w:rsidRDefault="00650BE3" w:rsidP="000E54FF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E5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0E54FF">
        <w:rPr>
          <w:rFonts w:ascii="Times New Roman" w:hAnsi="Times New Roman" w:cs="Times New Roman"/>
          <w:sz w:val="28"/>
          <w:szCs w:val="28"/>
        </w:rPr>
        <w:t>освоения дисциплины: ознакомление с морфофункциональным, таксономическим и экологическим разнообразием животных, их эволюцией и значением в природе и жизни человека; формирование у студентов систематизированных знаний о наиболее значимых группах животных на базе современных достижений различных дисциплин.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sz w:val="28"/>
          <w:szCs w:val="28"/>
        </w:rPr>
        <w:t>изучение основ морфологии и систематики животных; изучение эволюционных путей происхождения животных; изучение жизненных циклов различных систематических групп; современных экспериментальных  методов  работы с биологическими объектами в полевых и лабораторных условиях, навыков работы с современной аппаратурой.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>Общая трудоемкость дисциплины составляет 6 зачетных единиц (216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676"/>
      </w:tblGrid>
      <w:tr w:rsidR="00130EDB" w:rsidRPr="00130EDB" w:rsidTr="00130EDB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30EDB" w:rsidRPr="00130EDB" w:rsidTr="00130EDB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70,5</w:t>
            </w: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30EDB" w:rsidRPr="00130EDB" w:rsidTr="00130EDB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130EDB" w:rsidRPr="00130EDB" w:rsidTr="00130EDB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145,5</w:t>
            </w:r>
          </w:p>
        </w:tc>
      </w:tr>
      <w:tr w:rsidR="00130EDB" w:rsidRPr="00130EDB" w:rsidTr="00130EDB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30EDB" w:rsidRPr="00130EDB" w:rsidRDefault="00130EDB" w:rsidP="00A12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A1216D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30EDB" w:rsidRPr="00130EDB" w:rsidTr="00130EDB">
        <w:tc>
          <w:tcPr>
            <w:tcW w:w="6180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0EDB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676" w:type="dxa"/>
            <w:shd w:val="clear" w:color="auto" w:fill="auto"/>
          </w:tcPr>
          <w:p w:rsidR="00130EDB" w:rsidRPr="00130EDB" w:rsidRDefault="00130EDB" w:rsidP="00130E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55" w:rsidRDefault="00631A55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6D" w:rsidRDefault="00A1216D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9F2" w:rsidRDefault="009559F2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31A55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31A55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31A5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31A55">
        <w:rPr>
          <w:rFonts w:ascii="Times New Roman" w:hAnsi="Times New Roman"/>
          <w:sz w:val="28"/>
          <w:szCs w:val="20"/>
        </w:rPr>
        <w:t xml:space="preserve">занятия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31A55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31A5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0E54FF" w:rsidRDefault="000E54FF" w:rsidP="000E54F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FF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экзамену).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 семестр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 Цели  и задачи дисциплины «Зоология беспозвоночных».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 История развития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 Структура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 Роль беспозвоночных животных в жизни и хозяйстве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 Планы строения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6 Систематика животного мира.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простейших или одноклеточные </w:t>
      </w:r>
      <w:bookmarkStart w:id="2" w:name="_Toc5468966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Protozoa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8 Классификация простейших.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9 Тип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саркомастигофоры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54689670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3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10 Подтип саркодовые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Sarcodina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11 </w:t>
      </w:r>
      <w:bookmarkStart w:id="4" w:name="_Toc54689672"/>
      <w:r w:rsidRPr="00EC190E">
        <w:rPr>
          <w:rFonts w:ascii="Times New Roman" w:hAnsi="Times New Roman" w:cs="Times New Roman"/>
          <w:sz w:val="28"/>
          <w:szCs w:val="28"/>
        </w:rPr>
        <w:t>Надкласс корненожки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Rhizopoda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4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12 Подтип жгутиконосцы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13 </w:t>
      </w:r>
      <w:bookmarkStart w:id="5" w:name="_Toc54689675"/>
      <w:r w:rsidRPr="00EC190E">
        <w:rPr>
          <w:rFonts w:ascii="Times New Roman" w:hAnsi="Times New Roman" w:cs="Times New Roman"/>
          <w:sz w:val="28"/>
          <w:szCs w:val="28"/>
        </w:rPr>
        <w:t>Класс растительные жгутиконосцы</w:t>
      </w:r>
      <w:bookmarkEnd w:id="5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54689676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Phyto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6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14 </w:t>
      </w:r>
      <w:bookmarkStart w:id="7" w:name="_Toc54689677"/>
      <w:r w:rsidRPr="00EC190E">
        <w:rPr>
          <w:rFonts w:ascii="Times New Roman" w:hAnsi="Times New Roman" w:cs="Times New Roman"/>
          <w:sz w:val="28"/>
          <w:szCs w:val="28"/>
        </w:rPr>
        <w:t>Класс животные жгутиконосцы</w:t>
      </w:r>
      <w:bookmarkEnd w:id="7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5468967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Zoo</w:t>
      </w:r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15</w:t>
      </w:r>
      <w:bookmarkStart w:id="9" w:name="_Toc54689688"/>
      <w:r w:rsidRPr="00EC190E">
        <w:rPr>
          <w:rFonts w:ascii="Times New Roman" w:hAnsi="Times New Roman" w:cs="Times New Roman"/>
          <w:sz w:val="28"/>
          <w:szCs w:val="28"/>
        </w:rPr>
        <w:t xml:space="preserve"> Класс споровики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Sporozoea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16</w:t>
      </w:r>
      <w:bookmarkStart w:id="10" w:name="_Toc54689692"/>
      <w:r w:rsidRPr="00EC190E">
        <w:rPr>
          <w:rFonts w:ascii="Times New Roman" w:hAnsi="Times New Roman" w:cs="Times New Roman"/>
          <w:sz w:val="28"/>
          <w:szCs w:val="28"/>
        </w:rPr>
        <w:t xml:space="preserve"> Отряд кровяные споровики (</w:t>
      </w:r>
      <w:proofErr w:type="spellStart"/>
      <w:r w:rsidRPr="00EC190E">
        <w:rPr>
          <w:rFonts w:ascii="Times New Roman" w:hAnsi="Times New Roman" w:cs="Times New Roman"/>
          <w:sz w:val="28"/>
          <w:szCs w:val="28"/>
          <w:lang w:val="en-US"/>
        </w:rPr>
        <w:t>Haemosporidia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0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17 Тип Ресничные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Ciliophora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типа на примере инфузории-туфельки.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bookmarkStart w:id="11" w:name="_Toc54689696"/>
      <w:r w:rsidRPr="00EC19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Metazoa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1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19 </w:t>
      </w:r>
      <w:bookmarkStart w:id="12" w:name="_Toc54689697"/>
      <w:r w:rsidRPr="00EC190E">
        <w:rPr>
          <w:rFonts w:ascii="Times New Roman" w:hAnsi="Times New Roman" w:cs="Times New Roman"/>
          <w:sz w:val="28"/>
          <w:szCs w:val="28"/>
        </w:rPr>
        <w:t>Происхождение многоклеточных</w:t>
      </w:r>
      <w:bookmarkEnd w:id="12"/>
      <w:r w:rsidRPr="00EC190E">
        <w:rPr>
          <w:rFonts w:ascii="Times New Roman" w:hAnsi="Times New Roman" w:cs="Times New Roman"/>
          <w:sz w:val="28"/>
          <w:szCs w:val="28"/>
        </w:rPr>
        <w:t xml:space="preserve">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гастреи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Э. Геккеля.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20 Происхождение многоклеточных.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фагоци</w:t>
      </w:r>
      <w:r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190E">
        <w:rPr>
          <w:rFonts w:ascii="Times New Roman" w:hAnsi="Times New Roman" w:cs="Times New Roman"/>
          <w:sz w:val="28"/>
          <w:szCs w:val="28"/>
        </w:rPr>
        <w:t>И. И. Мечникова.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21 </w:t>
      </w:r>
      <w:bookmarkStart w:id="13" w:name="_Toc54689698"/>
      <w:r w:rsidRPr="00EC190E">
        <w:rPr>
          <w:rFonts w:ascii="Times New Roman" w:hAnsi="Times New Roman" w:cs="Times New Roman"/>
          <w:sz w:val="28"/>
          <w:szCs w:val="28"/>
        </w:rPr>
        <w:t>Принципы классификации многоклеточных</w:t>
      </w:r>
      <w:bookmarkEnd w:id="13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22 Губки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Spongia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Клеточный уровень организации, морфофункциональная характеристика, размножение и развитие. Экология, роль в природе.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>23 Тип Кишечнополостные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Строение и биология на примере пресноводной гидры. Основные группы кишечнополостных, особенности размножения гидроидных и сцифоидных.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24 Строение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медузоидного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поколения кишечнополостных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Особенности гидроидных, сцифоидных и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кубомедуз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25 Класс коралловые полипы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Anthozoa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Основные отряды. Особенности строения и экологии. Геоморфологическое и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26 Тип Плоские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Plat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Общие принципы строения и биологии. Разнообразие таксономических и экологических групп паразитических и свободноживущих плоских червей.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27 </w:t>
      </w:r>
      <w:bookmarkStart w:id="14" w:name="_Toc54689714"/>
      <w:r w:rsidRPr="00EC190E">
        <w:rPr>
          <w:rFonts w:ascii="Times New Roman" w:hAnsi="Times New Roman" w:cs="Times New Roman"/>
          <w:sz w:val="28"/>
          <w:szCs w:val="28"/>
        </w:rPr>
        <w:t>Класс трематоды,</w:t>
      </w:r>
      <w:bookmarkEnd w:id="14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Toc54689715"/>
      <w:r w:rsidRPr="00EC190E">
        <w:rPr>
          <w:rFonts w:ascii="Times New Roman" w:hAnsi="Times New Roman" w:cs="Times New Roman"/>
          <w:sz w:val="28"/>
          <w:szCs w:val="28"/>
        </w:rPr>
        <w:t>или сосальщики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Trematoda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5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28 Класс Ленточные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Cestoda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Адаптации к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эндопаразитизму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, жизненные циклы, цестодозы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29 Тип Круглые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Nemat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нематод. Паразитические круглые черви.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30 Разнообразие паразитических червей - гельминтов. Основные гельминтозы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31 Тип Кольчатые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Annelida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кольчецов,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32 Класс Многощетинковые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Polychaeta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Морфология и анатомия, особенности эмбрионального и постэмбрионального развития.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33 Класс Малощетинковые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Oligochaeta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34 Строение и биология олигохет, водные и почвенные малощетинковые черви, их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35 Класс Пиявки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Hirudinea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36 Тип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Mollusca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План строения, основные морфофункциональные и филогенетические особенности.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37 Класс Брюхоногие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Gastropoda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>38 Класс Головоногие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Cephalopoda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Морфофункциональные модификации тела, образ жизни.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39 Класс Двустворчатые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Bivalvia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 и биологии,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Боконервные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моллюски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Amphineura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Класс Хитоны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Polyplacophora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), архаичность строения. В чем сходство с ними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Бороздчатобрюхих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Моноплакофор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41 Основные принципы строения членистоногих животных (тип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Arthropoda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42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Паукообразные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Araneiformes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адаптации к наземному образу жизни. Основные отряды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43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Клещи -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44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Ракообразные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Crustacea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биология, адаптации к водной среде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45 </w:t>
      </w:r>
      <w:r w:rsidRPr="00EC190E">
        <w:rPr>
          <w:rFonts w:ascii="Times New Roman" w:eastAsia="Calibri" w:hAnsi="Times New Roman" w:cs="Times New Roman"/>
          <w:sz w:val="28"/>
          <w:szCs w:val="28"/>
        </w:rPr>
        <w:t>Разнообразие ракообразных, их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46 </w:t>
      </w:r>
      <w:r w:rsidRPr="00EC190E">
        <w:rPr>
          <w:rFonts w:ascii="Times New Roman" w:eastAsia="Calibri" w:hAnsi="Times New Roman" w:cs="Times New Roman"/>
          <w:sz w:val="28"/>
          <w:szCs w:val="28"/>
        </w:rPr>
        <w:t>Надкласс многоножки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Myriapoda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особенности сегментации, адаптации к наземному образу жизни.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>47 Насекомые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Insecta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Особенности строения, комплекс адаптаций к наземной среде обитания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48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Иглокожие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Ecinodermata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Общая характеристика, филогения,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49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Строение и биология морских звезд (класс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Asteroidea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Многообразие иглокожих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50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первичноротых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Protostomia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вторичноро</w:t>
      </w:r>
      <w:r w:rsidRPr="00EC190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Deuterostomia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51 </w:t>
      </w:r>
      <w:r w:rsidRPr="00EC190E">
        <w:rPr>
          <w:rFonts w:ascii="Times New Roman" w:eastAsia="Calibri" w:hAnsi="Times New Roman" w:cs="Times New Roman"/>
          <w:sz w:val="28"/>
          <w:szCs w:val="28"/>
        </w:rPr>
        <w:t>Особенности эмбрионального развития и строения имагинальных фаз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52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щупальцевые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Tentaculata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План строения, адаптации к сидячему образу жизни. Основные таксономические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Осморегуляция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у простейших и многоклеточных животных, эволюция выделительной системы.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lastRenderedPageBreak/>
        <w:t>54 Возникновение и эволюция нервной системы у беспозвоночных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55 </w:t>
      </w:r>
      <w:bookmarkStart w:id="16" w:name="_Toc54689747"/>
      <w:r w:rsidRPr="00EC190E">
        <w:rPr>
          <w:rFonts w:ascii="Times New Roman" w:hAnsi="Times New Roman" w:cs="Times New Roman"/>
          <w:sz w:val="28"/>
          <w:szCs w:val="28"/>
        </w:rPr>
        <w:t>Отряд двукрылые, или мухи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Diptera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6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56 </w:t>
      </w:r>
      <w:bookmarkStart w:id="17" w:name="_Toc54689746"/>
      <w:r w:rsidRPr="00EC190E">
        <w:rPr>
          <w:rFonts w:ascii="Times New Roman" w:hAnsi="Times New Roman" w:cs="Times New Roman"/>
          <w:sz w:val="28"/>
          <w:szCs w:val="28"/>
        </w:rPr>
        <w:t>Отряд перепончатокрылые 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Hymenoptera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7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57 </w:t>
      </w:r>
      <w:bookmarkStart w:id="18" w:name="_Toc54689745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чешуекрылые, или бабочки (</w:t>
      </w:r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epidoptera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58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жесткокрылые, или жуки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oleoptera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59</w:t>
      </w:r>
      <w:bookmarkStart w:id="19" w:name="_Toc54689741"/>
      <w:r w:rsidRPr="00EC19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равнокрылые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omoptera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60 </w:t>
      </w:r>
      <w:bookmarkStart w:id="20" w:name="_Toc54689740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прямокрылые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rthoptera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0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44499" w:rsidRDefault="000E54FF" w:rsidP="00E44499">
      <w:pPr>
        <w:pStyle w:val="af"/>
        <w:spacing w:before="0"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C190E">
        <w:rPr>
          <w:rFonts w:ascii="Times New Roman" w:hAnsi="Times New Roman"/>
          <w:sz w:val="28"/>
          <w:szCs w:val="28"/>
        </w:rPr>
        <w:t xml:space="preserve">61-90: </w:t>
      </w:r>
      <w:r w:rsidRPr="00EC190E">
        <w:rPr>
          <w:rFonts w:ascii="Times New Roman" w:hAnsi="Times New Roman"/>
          <w:bCs/>
          <w:sz w:val="28"/>
          <w:szCs w:val="28"/>
        </w:rPr>
        <w:t>Объясните значение следующих терминов:</w:t>
      </w:r>
      <w:r w:rsidRPr="00EC19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90E">
        <w:rPr>
          <w:rFonts w:ascii="Times New Roman" w:hAnsi="Times New Roman"/>
          <w:sz w:val="28"/>
          <w:szCs w:val="28"/>
        </w:rPr>
        <w:t xml:space="preserve">эктоплазма, эндоплазма, цитоплазма, кариоплазма, вакуоль, органоиды, псевдоподия (ложноножка), включения, базальное тело, пелликула, включения, органеллы, кариоплазма, </w:t>
      </w:r>
      <w:proofErr w:type="spellStart"/>
      <w:r w:rsidRPr="00EC190E">
        <w:rPr>
          <w:rFonts w:ascii="Times New Roman" w:hAnsi="Times New Roman"/>
          <w:sz w:val="28"/>
          <w:szCs w:val="28"/>
        </w:rPr>
        <w:t>ундулирующая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мембрана, хроматофоры,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кинетопласт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микрогамета, макрогамета,  макрогамета,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ооциста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споры, перистом, реснички, эктоплазма, эндоплазма, пелликула, трихоцисты, глотка, порошица, макронуклеус, микронуклеус, </w:t>
      </w:r>
      <w:proofErr w:type="spellStart"/>
      <w:r w:rsidRPr="00EC190E">
        <w:rPr>
          <w:rFonts w:ascii="Times New Roman" w:hAnsi="Times New Roman"/>
          <w:sz w:val="28"/>
          <w:szCs w:val="28"/>
        </w:rPr>
        <w:t>нейрофаны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аутогамия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эндомиксис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устье, </w:t>
      </w:r>
      <w:proofErr w:type="spellStart"/>
      <w:r w:rsidRPr="00EC190E">
        <w:rPr>
          <w:rFonts w:ascii="Times New Roman" w:hAnsi="Times New Roman"/>
          <w:sz w:val="28"/>
          <w:szCs w:val="28"/>
        </w:rPr>
        <w:t>оскулум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подошва,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спикулы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парагастральная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полость, мезоглея, </w:t>
      </w:r>
      <w:proofErr w:type="spellStart"/>
      <w:r w:rsidRPr="00EC190E">
        <w:rPr>
          <w:rFonts w:ascii="Times New Roman" w:hAnsi="Times New Roman"/>
          <w:sz w:val="28"/>
          <w:szCs w:val="28"/>
        </w:rPr>
        <w:t>лейкон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сикон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аскон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хоаноциты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колленциты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склеробласты</w:t>
      </w:r>
      <w:proofErr w:type="spellEnd"/>
      <w:r w:rsidRPr="00EC190E">
        <w:rPr>
          <w:rFonts w:ascii="Times New Roman" w:hAnsi="Times New Roman"/>
          <w:sz w:val="28"/>
          <w:szCs w:val="28"/>
        </w:rPr>
        <w:t>, жгутиковые камеры</w:t>
      </w:r>
      <w:bookmarkStart w:id="21" w:name="39"/>
      <w:bookmarkEnd w:id="21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гипостом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щупальца, стрекательные клетки, стрекательные нити, стрекательные капсулы, почки, гонады, </w:t>
      </w:r>
      <w:proofErr w:type="spellStart"/>
      <w:r w:rsidRPr="00EC190E">
        <w:rPr>
          <w:rFonts w:ascii="Times New Roman" w:hAnsi="Times New Roman"/>
          <w:sz w:val="28"/>
          <w:szCs w:val="28"/>
        </w:rPr>
        <w:t>пенетранты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гидрант,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гонангии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гидротека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бластостиль</w:t>
      </w:r>
      <w:proofErr w:type="spellEnd"/>
      <w:r w:rsidRPr="00EC190E">
        <w:rPr>
          <w:rFonts w:ascii="Times New Roman" w:hAnsi="Times New Roman"/>
          <w:sz w:val="28"/>
          <w:szCs w:val="28"/>
        </w:rPr>
        <w:t>, гастроваскулярная система</w:t>
      </w:r>
      <w:bookmarkStart w:id="22" w:name="46"/>
      <w:bookmarkEnd w:id="22"/>
      <w:r w:rsidRPr="00EC190E">
        <w:rPr>
          <w:rFonts w:ascii="Times New Roman" w:hAnsi="Times New Roman"/>
          <w:sz w:val="28"/>
          <w:szCs w:val="28"/>
        </w:rPr>
        <w:t xml:space="preserve">, базальная мембрана, ганглии,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комиссуры,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коннективы</w:t>
      </w:r>
      <w:proofErr w:type="spellEnd"/>
      <w:r w:rsidRPr="00EC190E">
        <w:rPr>
          <w:rFonts w:ascii="Times New Roman" w:hAnsi="Times New Roman"/>
          <w:sz w:val="28"/>
          <w:szCs w:val="28"/>
        </w:rPr>
        <w:t>, паренхима</w:t>
      </w:r>
      <w:r w:rsidRPr="00EC190E">
        <w:rPr>
          <w:rFonts w:ascii="Times New Roman" w:hAnsi="Times New Roman"/>
          <w:bCs/>
          <w:sz w:val="28"/>
          <w:szCs w:val="28"/>
        </w:rPr>
        <w:t xml:space="preserve">, </w:t>
      </w:r>
      <w:r w:rsidRPr="00EC190E">
        <w:rPr>
          <w:rFonts w:ascii="Times New Roman" w:hAnsi="Times New Roman"/>
          <w:sz w:val="28"/>
          <w:szCs w:val="28"/>
        </w:rPr>
        <w:t xml:space="preserve">партеногенез,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протонефридии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рабдиты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ротовая присоска, брюшная присоска, семенники,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матка, семяприемник, тельце Мелиса,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спороцисты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редии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церкарии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кутикула,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мирацидий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финна, сколекс, стробила,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проглоттиды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ботрии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плероцеркоид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цистицеркоид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стробиляция</w:t>
      </w:r>
      <w:proofErr w:type="spellEnd"/>
      <w:r w:rsidRPr="00EC190E">
        <w:rPr>
          <w:rFonts w:ascii="Times New Roman" w:hAnsi="Times New Roman"/>
          <w:sz w:val="28"/>
          <w:szCs w:val="28"/>
        </w:rPr>
        <w:t>, гермафродиты.</w:t>
      </w:r>
    </w:p>
    <w:p w:rsidR="000E54FF" w:rsidRDefault="000E54FF" w:rsidP="00E4449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54FF" w:rsidRPr="00E44499" w:rsidRDefault="000E54FF" w:rsidP="00E44499">
      <w:pPr>
        <w:pStyle w:val="a3"/>
        <w:numPr>
          <w:ilvl w:val="0"/>
          <w:numId w:val="21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99">
        <w:rPr>
          <w:rFonts w:ascii="Times New Roman" w:eastAsia="Times New Roman" w:hAnsi="Times New Roman" w:cs="Times New Roman"/>
          <w:sz w:val="28"/>
          <w:szCs w:val="28"/>
        </w:rPr>
        <w:t>семестр</w:t>
      </w:r>
    </w:p>
    <w:p w:rsidR="000E54FF" w:rsidRPr="00203E1C" w:rsidRDefault="00E44499" w:rsidP="00E4449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Характеристика типа хордовых. Происхождение. </w:t>
      </w:r>
      <w:r w:rsidR="000E54FF" w:rsidRPr="00203E1C">
        <w:rPr>
          <w:rFonts w:ascii="Times New Roman" w:hAnsi="Times New Roman" w:cs="Times New Roman"/>
          <w:iCs/>
          <w:sz w:val="28"/>
          <w:szCs w:val="28"/>
        </w:rPr>
        <w:t>Работы русских ученых в изучении хордовых.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 Систематика.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t>Значение хордовых животных в природе и для человека.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lastRenderedPageBreak/>
        <w:t>Характеристика подтипа позвоночных. Происхождение.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челюстноротых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>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челюстей и парных конечностей.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костных рыб.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костных рыб Оренбургской области.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рыб.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Экономическое  и экологическое значение рыб. 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рыб по среде обитания и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Рыбы Красных книг России и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Ореннбургской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 xml:space="preserve"> области.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земноводных.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Земноводные из Красных книг России и Оренбургской 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анамний.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амниот.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Взаимоотношения половых и выделительных протоков у анамний.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Взаимоотношения половых и выделительных протоков у амниот.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пресмыкающихся.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организации рептилий как настоящих наземных позвоночных.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Кожные покровы и скелет пресмыкающихся (без черепа).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Происхождение и эволюция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Подкласс архозавры. Признаки примитивной и прогрессивной организации.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Ядовитые змеи, их значение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рептилий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и охрана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Рептилии из Красных книг России и Оренбургской 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птиц.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Черты сходства птиц с рептилиями и отличия от них.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птиц. Жизненные формы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Покровы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Скелет птиц и приспособления к полёту в нём.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птиц. Экологические группы птиц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 и дыхательная системы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система. Строение яйца. Размножение и забота о потомстве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птиц. Миграции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Птицы из Красных книг России и Оренбургской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млекопитающих.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млекопитающих как отражение адаптации к среде обитания. Жизненные формы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Кожа и её производные у млекопитающих. 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скелета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Эволюция висцерального черепа позвоночных.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Пищеварительная система и питание млекопитающих. Экологические группы млекопитающих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 и кровеносная системы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млекопитающих. Экологические группы млекопитающих по отношению к среде обитания.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млекопитающих в природе и для человека.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937C6A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DF35C7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DF35C7" w:rsidRDefault="00937C6A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DF35C7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Константинов, В. М. Зоология позвоночных: учеб. / В. М. Константинов, С. П. Наумов, С. П. Шаталова.- 3-е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- 464 с. - (Высшее профессиональное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Языкова, И.М. Зоология беспозвоночных [Электронный ресурс].  / И.М. Языкова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–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2011. – Ч. 1. – 432 с. – ISBN 978-5-9275-0888-4. – Режим доступа: 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57F" w:rsidRDefault="00937C6A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457F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под ред. В. М. Константинова.- 2-е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- 272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270. - ISBN 5-7695-0734-9.</w:t>
      </w:r>
    </w:p>
    <w:p w:rsidR="0045457F" w:rsidRDefault="0045457F" w:rsidP="0045457F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Языкова, И.М. Практикум по зоологии беспозвоночных: для студентов биолого-почвенного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ресурс]. / И.М. Языкова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университет», Биолого-почвенный факультет. -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2010. - 326 с.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с: С. 321-323. - ISBN 978-5-9275-0743-6. – Режим доступа:  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5457F" w:rsidRDefault="0045457F" w:rsidP="0045457F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Степанян, Е.Н. Лабораторные занятия по зоологии с основами экологии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[Текст] 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</w:t>
      </w:r>
      <w:proofErr w:type="spellEnd"/>
      <w:r>
        <w:rPr>
          <w:color w:val="000000"/>
          <w:sz w:val="28"/>
          <w:szCs w:val="28"/>
        </w:rPr>
        <w:t xml:space="preserve"> / Е. Н. Степанян, Е. М. Алексахина. -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45457F" w:rsidRDefault="0045457F" w:rsidP="0045457F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Практикум по зоологии беспозвоночных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особие. –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центр «Академия», 2003. - 208 с. - (Высшее образование).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.: с. 198 - ISBN 5-7695-0919-8.</w:t>
      </w:r>
    </w:p>
    <w:p w:rsidR="0045457F" w:rsidRDefault="0045457F" w:rsidP="0045457F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5C7" w:rsidRPr="00DF35C7" w:rsidRDefault="00937C6A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DF35C7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DF35C7">
        <w:rPr>
          <w:rFonts w:ascii="Times New Roman" w:hAnsi="Times New Roman" w:cs="Times New Roman"/>
          <w:sz w:val="28"/>
          <w:szCs w:val="28"/>
        </w:rPr>
        <w:t xml:space="preserve">, </w:t>
      </w:r>
      <w:r w:rsidR="00FC5A28">
        <w:rPr>
          <w:rFonts w:ascii="Times New Roman" w:hAnsi="Times New Roman" w:cs="Times New Roman"/>
          <w:sz w:val="28"/>
          <w:szCs w:val="28"/>
        </w:rPr>
        <w:t>2017</w:t>
      </w:r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ГОУ ОГУ, </w:t>
      </w:r>
      <w:r w:rsidR="00FC5A28">
        <w:rPr>
          <w:rFonts w:ascii="Times New Roman" w:hAnsi="Times New Roman" w:cs="Times New Roman"/>
          <w:sz w:val="28"/>
          <w:szCs w:val="28"/>
        </w:rPr>
        <w:t>2017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F35C7" w:rsidRDefault="00937C6A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F35C7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1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</w:t>
      </w:r>
      <w:proofErr w:type="gramStart"/>
      <w:r w:rsidRPr="00DF35C7">
        <w:rPr>
          <w:sz w:val="28"/>
          <w:szCs w:val="28"/>
        </w:rPr>
        <w:t>Естественно-научный</w:t>
      </w:r>
      <w:proofErr w:type="gramEnd"/>
      <w:r w:rsidRPr="00DF35C7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13" w:rsidRDefault="00430A13" w:rsidP="00FF0076">
      <w:pPr>
        <w:spacing w:after="0" w:line="240" w:lineRule="auto"/>
      </w:pPr>
      <w:r>
        <w:separator/>
      </w:r>
    </w:p>
  </w:endnote>
  <w:endnote w:type="continuationSeparator" w:id="0">
    <w:p w:rsidR="00430A13" w:rsidRDefault="00430A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9E3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04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13" w:rsidRDefault="00430A13" w:rsidP="00FF0076">
      <w:pPr>
        <w:spacing w:after="0" w:line="240" w:lineRule="auto"/>
      </w:pPr>
      <w:r>
        <w:separator/>
      </w:r>
    </w:p>
  </w:footnote>
  <w:footnote w:type="continuationSeparator" w:id="0">
    <w:p w:rsidR="00430A13" w:rsidRDefault="00430A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0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5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30EDB"/>
    <w:rsid w:val="0014634D"/>
    <w:rsid w:val="001956A5"/>
    <w:rsid w:val="001A4606"/>
    <w:rsid w:val="001B6043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36B17"/>
    <w:rsid w:val="00355893"/>
    <w:rsid w:val="00367416"/>
    <w:rsid w:val="003C479D"/>
    <w:rsid w:val="003E5AA1"/>
    <w:rsid w:val="003F234E"/>
    <w:rsid w:val="00430A13"/>
    <w:rsid w:val="004355DC"/>
    <w:rsid w:val="00440111"/>
    <w:rsid w:val="0045457F"/>
    <w:rsid w:val="00474DF5"/>
    <w:rsid w:val="00495BA7"/>
    <w:rsid w:val="00511160"/>
    <w:rsid w:val="005417C3"/>
    <w:rsid w:val="005447C8"/>
    <w:rsid w:val="00573875"/>
    <w:rsid w:val="005C1770"/>
    <w:rsid w:val="005F1556"/>
    <w:rsid w:val="00604D48"/>
    <w:rsid w:val="00611364"/>
    <w:rsid w:val="00631A55"/>
    <w:rsid w:val="00650BE3"/>
    <w:rsid w:val="006A5588"/>
    <w:rsid w:val="006D15A0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37C6A"/>
    <w:rsid w:val="009559F2"/>
    <w:rsid w:val="0096479F"/>
    <w:rsid w:val="009838CD"/>
    <w:rsid w:val="009E3224"/>
    <w:rsid w:val="009E3E22"/>
    <w:rsid w:val="00A1216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E7100"/>
    <w:rsid w:val="00AF6F86"/>
    <w:rsid w:val="00B10758"/>
    <w:rsid w:val="00B14114"/>
    <w:rsid w:val="00B14123"/>
    <w:rsid w:val="00B67BE1"/>
    <w:rsid w:val="00B775E4"/>
    <w:rsid w:val="00B81E60"/>
    <w:rsid w:val="00B90D4F"/>
    <w:rsid w:val="00BB28E8"/>
    <w:rsid w:val="00BE01EB"/>
    <w:rsid w:val="00BF457F"/>
    <w:rsid w:val="00C06FCB"/>
    <w:rsid w:val="00C14859"/>
    <w:rsid w:val="00C4037F"/>
    <w:rsid w:val="00C56C34"/>
    <w:rsid w:val="00CA77B9"/>
    <w:rsid w:val="00D00AB0"/>
    <w:rsid w:val="00D25B75"/>
    <w:rsid w:val="00D300B3"/>
    <w:rsid w:val="00D63633"/>
    <w:rsid w:val="00DF35C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A7AC8"/>
    <w:rsid w:val="00FB6981"/>
    <w:rsid w:val="00FC5A2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412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41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5528-6738-4EC9-AF1C-A7CEDFCF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2019-10-09T05:41:00Z</cp:lastPrinted>
  <dcterms:created xsi:type="dcterms:W3CDTF">2020-02-13T08:14:00Z</dcterms:created>
  <dcterms:modified xsi:type="dcterms:W3CDTF">2020-02-13T08:14:00Z</dcterms:modified>
</cp:coreProperties>
</file>