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7" w:rsidRDefault="003A2F87" w:rsidP="003A2F87">
      <w:pPr>
        <w:pStyle w:val="ReportHead"/>
        <w:keepNext/>
        <w:keepLines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3E0C79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3E0C79">
        <w:rPr>
          <w:sz w:val="32"/>
          <w:szCs w:val="28"/>
        </w:rPr>
        <w:t>«</w:t>
      </w:r>
      <w:r w:rsidR="00014581" w:rsidRPr="003E0C79">
        <w:rPr>
          <w:sz w:val="32"/>
        </w:rPr>
        <w:t>Заповедное дело и охрана природы</w:t>
      </w:r>
      <w:r w:rsidRPr="003E0C79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735B2B" w:rsidRDefault="008D4D99" w:rsidP="00735B2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014581">
        <w:rPr>
          <w:szCs w:val="28"/>
        </w:rPr>
        <w:t>7</w:t>
      </w:r>
    </w:p>
    <w:p w:rsidR="008D4D99" w:rsidRPr="006454D5" w:rsidRDefault="00014581" w:rsidP="004A5996">
      <w:pPr>
        <w:pStyle w:val="ReportMain"/>
        <w:suppressAutoHyphens/>
        <w:jc w:val="both"/>
        <w:rPr>
          <w:sz w:val="28"/>
          <w:szCs w:val="28"/>
        </w:rPr>
      </w:pPr>
      <w:r w:rsidRPr="00014581">
        <w:rPr>
          <w:sz w:val="28"/>
        </w:rPr>
        <w:lastRenderedPageBreak/>
        <w:t>Заповедное дело и охрана природы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35B2B">
        <w:rPr>
          <w:sz w:val="28"/>
          <w:szCs w:val="28"/>
        </w:rPr>
        <w:t xml:space="preserve">сост.: </w:t>
      </w:r>
      <w:r w:rsidR="000D1882">
        <w:rPr>
          <w:sz w:val="28"/>
          <w:szCs w:val="28"/>
        </w:rPr>
        <w:t>Е.В. Криволапова</w:t>
      </w:r>
      <w:r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201</w:t>
      </w:r>
      <w:r>
        <w:rPr>
          <w:sz w:val="28"/>
          <w:szCs w:val="28"/>
        </w:rPr>
        <w:t>7</w:t>
      </w:r>
      <w:r w:rsidR="008D4D99" w:rsidRPr="006454D5">
        <w:rPr>
          <w:sz w:val="28"/>
          <w:szCs w:val="28"/>
        </w:rPr>
        <w:t>.</w:t>
      </w:r>
      <w:r w:rsidR="0024667C">
        <w:rPr>
          <w:sz w:val="28"/>
          <w:szCs w:val="28"/>
        </w:rPr>
        <w:t xml:space="preserve"> – 20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0D1882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0D1882" w:rsidRPr="000D1882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 w:rsidR="003A4D73"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14581"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AD69F4" w:rsidRDefault="0082553E" w:rsidP="00AD69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A4ADB" w:rsidRPr="008A4ADB" w:rsidRDefault="001F385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A4ADB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A4AD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A4AD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433995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_Toc15433995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6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_Toc15433996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7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_Toc15433997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8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_Toc15433998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3999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_Toc15433999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0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рубежному контролю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_Toc15434000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1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_Toc15434001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2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_Toc15434002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3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3.6 Методические </w:t>
            </w:r>
            <w:r w:rsidR="00270FD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_Toc15434003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C42429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434004" w:history="1">
            <w:r w:rsidR="008A4ADB" w:rsidRPr="008A4AD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_Toc15434004 \h </w:instrTex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E4FF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A4ADB" w:rsidRPr="008A4AD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4ADB" w:rsidRPr="008A4ADB" w:rsidRDefault="008A4ADB" w:rsidP="008A4ADB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8A4ADB" w:rsidRDefault="001F3859" w:rsidP="008A4ADB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A4AD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4667C" w:rsidRDefault="0024667C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15433995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AD69F4" w:rsidRDefault="00281AE0" w:rsidP="000145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4581">
        <w:rPr>
          <w:rFonts w:ascii="Times New Roman" w:hAnsi="Times New Roman" w:cs="Times New Roman"/>
          <w:sz w:val="28"/>
          <w:szCs w:val="28"/>
        </w:rPr>
        <w:t>«</w:t>
      </w:r>
      <w:r w:rsidR="00014581" w:rsidRPr="00014581">
        <w:rPr>
          <w:rFonts w:ascii="Times New Roman" w:hAnsi="Times New Roman" w:cs="Times New Roman"/>
          <w:sz w:val="28"/>
          <w:szCs w:val="28"/>
        </w:rPr>
        <w:t>Заповедное дело и охрана природы</w:t>
      </w:r>
      <w:r w:rsidRPr="00014581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014581">
        <w:rPr>
          <w:rFonts w:ascii="Times New Roman" w:hAnsi="Times New Roman" w:cs="Times New Roman"/>
          <w:sz w:val="28"/>
          <w:szCs w:val="28"/>
        </w:rPr>
        <w:t xml:space="preserve">на </w:t>
      </w:r>
      <w:r w:rsidR="00014581" w:rsidRPr="00014581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</w:t>
      </w:r>
      <w:r w:rsidR="00AD69F4" w:rsidRPr="00AD69F4">
        <w:rPr>
          <w:rFonts w:ascii="Times New Roman" w:hAnsi="Times New Roman" w:cs="Times New Roman"/>
          <w:sz w:val="28"/>
          <w:szCs w:val="28"/>
          <w:lang w:eastAsia="ru-RU"/>
        </w:rPr>
        <w:t>теоретико-методологических основ и практики заповедного дела</w:t>
      </w:r>
      <w:r w:rsidR="00AD69F4" w:rsidRPr="00AD69F4">
        <w:rPr>
          <w:rFonts w:ascii="Times New Roman" w:hAnsi="Times New Roman" w:cs="Times New Roman"/>
          <w:sz w:val="28"/>
          <w:szCs w:val="28"/>
        </w:rPr>
        <w:t xml:space="preserve"> методов управления в сфере биологических производств, мониторинга и охраны природной среды, природопользования, восстановления и охраны биоресурсов</w:t>
      </w:r>
      <w:r w:rsidR="0024667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D69F4" w:rsidRPr="00AD69F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экологических знаний и ценностных ориентаций студентов на основе изучения системы законодательных основ и принципов территориальной организации охраны природы</w:t>
      </w:r>
      <w:r w:rsidR="0082553E" w:rsidRPr="00AD6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1AE0" w:rsidRPr="0092433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10F0E">
        <w:rPr>
          <w:rFonts w:ascii="Times New Roman" w:hAnsi="Times New Roman" w:cs="Times New Roman"/>
          <w:sz w:val="28"/>
          <w:szCs w:val="28"/>
        </w:rPr>
        <w:t>вариативную часть</w:t>
      </w:r>
      <w:r w:rsidR="0082553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>учебного плана для студентов очной</w:t>
      </w:r>
      <w:r w:rsidR="004B0956">
        <w:rPr>
          <w:sz w:val="28"/>
          <w:szCs w:val="28"/>
        </w:rPr>
        <w:t xml:space="preserve"> </w:t>
      </w:r>
      <w:r w:rsidR="00805F85" w:rsidRPr="00805F85">
        <w:rPr>
          <w:rFonts w:ascii="Times New Roman" w:hAnsi="Times New Roman" w:cs="Times New Roman"/>
          <w:sz w:val="28"/>
          <w:szCs w:val="28"/>
        </w:rPr>
        <w:t>форм</w:t>
      </w:r>
      <w:r w:rsidR="004B0956">
        <w:rPr>
          <w:rFonts w:ascii="Times New Roman" w:hAnsi="Times New Roman" w:cs="Times New Roman"/>
          <w:sz w:val="28"/>
          <w:szCs w:val="28"/>
        </w:rPr>
        <w:t>ы</w:t>
      </w:r>
      <w:r w:rsidR="00805F85">
        <w:rPr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 направления подготовки 06.03.01 Биология. Успешное освоение данной дисциплины является </w:t>
      </w:r>
      <w:r w:rsidRPr="0092433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="00924331" w:rsidRPr="00924331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92433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014581"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 w:rsidR="002466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15433996"/>
      <w:bookmarkStart w:id="3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014581">
        <w:rPr>
          <w:sz w:val="28"/>
        </w:rPr>
        <w:t>Заповедное дело и охрана природы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014581" w:rsidRPr="00014581" w:rsidRDefault="00014581" w:rsidP="0001458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014581">
        <w:rPr>
          <w:sz w:val="28"/>
        </w:rPr>
        <w:t xml:space="preserve">Общая трудоемкость дисциплины составляет 3 </w:t>
      </w:r>
      <w:r w:rsidR="000776FB">
        <w:rPr>
          <w:sz w:val="28"/>
        </w:rPr>
        <w:t xml:space="preserve">зачетные единицы </w:t>
      </w:r>
      <w:r w:rsidRPr="00014581">
        <w:rPr>
          <w:sz w:val="28"/>
        </w:rPr>
        <w:t>(108 академических часов).</w:t>
      </w:r>
    </w:p>
    <w:p w:rsidR="00014581" w:rsidRPr="00014581" w:rsidRDefault="00014581" w:rsidP="00014581">
      <w:pPr>
        <w:pStyle w:val="ReportMain"/>
        <w:suppressAutoHyphens/>
        <w:ind w:firstLine="709"/>
        <w:jc w:val="both"/>
        <w:rPr>
          <w:sz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15433997"/>
      <w:r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F4" w:rsidRPr="0082553E" w:rsidRDefault="00AD69F4" w:rsidP="00AD69F4">
      <w:pPr>
        <w:pStyle w:val="1"/>
        <w:spacing w:line="360" w:lineRule="auto"/>
        <w:ind w:left="0" w:firstLine="708"/>
      </w:pPr>
      <w:bookmarkStart w:id="7" w:name="_Toc534396309"/>
      <w:bookmarkStart w:id="8" w:name="_Toc15433998"/>
      <w:bookmarkStart w:id="9" w:name="_Toc536703846"/>
      <w:bookmarkStart w:id="10" w:name="_Toc292615"/>
      <w:bookmarkStart w:id="11" w:name="_Toc375867"/>
      <w:bookmarkStart w:id="12" w:name="_Toc387539"/>
      <w:bookmarkStart w:id="13" w:name="_Toc534396310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</w:p>
    <w:p w:rsidR="00AD69F4" w:rsidRPr="00D55040" w:rsidRDefault="00AD69F4" w:rsidP="00AD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7C" w:rsidRPr="004E1C42" w:rsidRDefault="0024667C" w:rsidP="0024667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2003554"/>
      <w:bookmarkStart w:id="15" w:name="_Toc534396312"/>
      <w:bookmarkStart w:id="16" w:name="_Toc536703848"/>
      <w:bookmarkStart w:id="17" w:name="_Toc292617"/>
      <w:bookmarkStart w:id="18" w:name="_Toc375869"/>
      <w:bookmarkStart w:id="19" w:name="_Toc387541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24667C" w:rsidRPr="004E1C42" w:rsidRDefault="0024667C" w:rsidP="0024667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</w:t>
      </w:r>
      <w:r w:rsidR="008E4FF8">
        <w:rPr>
          <w:color w:val="auto"/>
          <w:sz w:val="28"/>
          <w:szCs w:val="28"/>
        </w:rPr>
        <w:t>д</w:t>
      </w:r>
      <w:bookmarkStart w:id="20" w:name="_GoBack"/>
      <w:bookmarkEnd w:id="20"/>
      <w:r w:rsidRPr="00D55040">
        <w:rPr>
          <w:color w:val="auto"/>
          <w:sz w:val="28"/>
          <w:szCs w:val="28"/>
        </w:rPr>
        <w:t>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</w:t>
      </w:r>
      <w:proofErr w:type="gramEnd"/>
      <w:r w:rsidRPr="00D55040">
        <w:rPr>
          <w:color w:val="auto"/>
          <w:sz w:val="28"/>
          <w:szCs w:val="28"/>
        </w:rPr>
        <w:t xml:space="preserve">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24667C" w:rsidRPr="002A70A8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24667C" w:rsidRPr="00D55040" w:rsidRDefault="0024667C" w:rsidP="0024667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24667C" w:rsidRPr="00D55040" w:rsidRDefault="0024667C" w:rsidP="0024667C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24667C" w:rsidRPr="002A70A8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4667C" w:rsidRPr="004E1C42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24667C" w:rsidRPr="00D55040" w:rsidRDefault="0024667C" w:rsidP="0024667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4667C" w:rsidRPr="00D55040" w:rsidRDefault="0024667C" w:rsidP="0024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C5EE2" w:rsidRPr="0082553E" w:rsidRDefault="00DC5EE2" w:rsidP="0024667C">
      <w:pPr>
        <w:pStyle w:val="1"/>
        <w:spacing w:line="360" w:lineRule="auto"/>
        <w:ind w:left="0" w:firstLine="708"/>
      </w:pPr>
      <w:bookmarkStart w:id="21" w:name="_Toc15433999"/>
      <w:r>
        <w:t>3.2</w:t>
      </w:r>
      <w:r w:rsidRPr="0082553E">
        <w:t xml:space="preserve"> </w:t>
      </w:r>
      <w:bookmarkEnd w:id="14"/>
      <w:bookmarkEnd w:id="15"/>
      <w:r w:rsidRPr="0082553E">
        <w:t>Методические рекомендации по подготовке к практическим занятиям</w:t>
      </w:r>
      <w:bookmarkEnd w:id="21"/>
      <w:r w:rsidRPr="0082553E">
        <w:t xml:space="preserve"> </w:t>
      </w:r>
    </w:p>
    <w:p w:rsidR="00DC5EE2" w:rsidRPr="001C7D2F" w:rsidRDefault="00DC5EE2" w:rsidP="00DC5EE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C5EE2" w:rsidRPr="001C7D2F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DC5EE2" w:rsidRDefault="00DC5EE2" w:rsidP="00DC5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DC5EE2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2" w:name="_Toc459836"/>
      <w:bookmarkStart w:id="23" w:name="_Toc387547"/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 xml:space="preserve"> представлены</w:t>
      </w:r>
      <w:r w:rsidRPr="000557A0">
        <w:rPr>
          <w:sz w:val="28"/>
          <w:szCs w:val="28"/>
        </w:rPr>
        <w:t xml:space="preserve"> в методических указаниях</w:t>
      </w:r>
      <w:r>
        <w:rPr>
          <w:sz w:val="28"/>
          <w:szCs w:val="28"/>
        </w:rPr>
        <w:t>:</w:t>
      </w:r>
    </w:p>
    <w:p w:rsidR="00DC5EE2" w:rsidRDefault="0024667C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662">
        <w:rPr>
          <w:sz w:val="28"/>
          <w:szCs w:val="28"/>
        </w:rPr>
        <w:t>Запо</w:t>
      </w:r>
      <w:r w:rsidR="00735B2B">
        <w:rPr>
          <w:sz w:val="28"/>
          <w:szCs w:val="28"/>
        </w:rPr>
        <w:t>ведное дело и охрана природы : м</w:t>
      </w:r>
      <w:r w:rsidRPr="006D4662">
        <w:rPr>
          <w:sz w:val="28"/>
          <w:szCs w:val="28"/>
        </w:rPr>
        <w:t>етодические указания</w:t>
      </w:r>
      <w:r w:rsidRPr="006D4662"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</w:t>
      </w:r>
      <w:r w:rsidRPr="006D4662">
        <w:rPr>
          <w:color w:val="000000" w:themeColor="text1"/>
          <w:sz w:val="28"/>
          <w:szCs w:val="28"/>
        </w:rPr>
        <w:t xml:space="preserve"> занятиям</w:t>
      </w:r>
      <w:r w:rsidRPr="006D4662">
        <w:rPr>
          <w:sz w:val="28"/>
          <w:szCs w:val="28"/>
        </w:rPr>
        <w:t xml:space="preserve"> / сост.: </w:t>
      </w:r>
      <w:r w:rsidR="002A6B43">
        <w:rPr>
          <w:sz w:val="28"/>
          <w:szCs w:val="28"/>
        </w:rPr>
        <w:t>Н.Н. Садыкова</w:t>
      </w:r>
      <w:r w:rsidRPr="006D4662">
        <w:rPr>
          <w:sz w:val="28"/>
          <w:szCs w:val="28"/>
        </w:rPr>
        <w:t xml:space="preserve">; </w:t>
      </w:r>
      <w:proofErr w:type="spellStart"/>
      <w:r w:rsidRPr="006D4662">
        <w:rPr>
          <w:sz w:val="28"/>
          <w:szCs w:val="28"/>
        </w:rPr>
        <w:t>Бузулукский</w:t>
      </w:r>
      <w:proofErr w:type="spellEnd"/>
      <w:r w:rsidRPr="006D4662">
        <w:rPr>
          <w:sz w:val="28"/>
          <w:szCs w:val="28"/>
        </w:rPr>
        <w:t xml:space="preserve"> </w:t>
      </w:r>
      <w:proofErr w:type="spellStart"/>
      <w:r w:rsidRPr="006D4662">
        <w:rPr>
          <w:sz w:val="28"/>
          <w:szCs w:val="28"/>
        </w:rPr>
        <w:t>гуманитарно</w:t>
      </w:r>
      <w:proofErr w:type="spellEnd"/>
      <w:r w:rsidRPr="006D4662">
        <w:rPr>
          <w:sz w:val="28"/>
          <w:szCs w:val="28"/>
        </w:rPr>
        <w:t xml:space="preserve"> – технолог</w:t>
      </w:r>
      <w:proofErr w:type="gramStart"/>
      <w:r w:rsidRPr="006D4662">
        <w:rPr>
          <w:sz w:val="28"/>
          <w:szCs w:val="28"/>
        </w:rPr>
        <w:t>.</w:t>
      </w:r>
      <w:proofErr w:type="gramEnd"/>
      <w:r w:rsidRPr="006D4662">
        <w:rPr>
          <w:sz w:val="28"/>
          <w:szCs w:val="28"/>
        </w:rPr>
        <w:t xml:space="preserve"> </w:t>
      </w:r>
      <w:proofErr w:type="gramStart"/>
      <w:r w:rsidRPr="006D4662">
        <w:rPr>
          <w:sz w:val="28"/>
          <w:szCs w:val="28"/>
        </w:rPr>
        <w:t>и</w:t>
      </w:r>
      <w:proofErr w:type="gramEnd"/>
      <w:r w:rsidRPr="006D4662">
        <w:rPr>
          <w:sz w:val="28"/>
          <w:szCs w:val="28"/>
        </w:rPr>
        <w:t>н-т (филиал) ОГУ – Бузулук:</w:t>
      </w:r>
      <w:r>
        <w:rPr>
          <w:sz w:val="28"/>
          <w:szCs w:val="28"/>
        </w:rPr>
        <w:t xml:space="preserve"> БГТИ (филиал) ОГУ, 2017. – 49</w:t>
      </w:r>
      <w:r w:rsidRPr="006D4662">
        <w:rPr>
          <w:sz w:val="28"/>
          <w:szCs w:val="28"/>
        </w:rPr>
        <w:t xml:space="preserve"> с.</w:t>
      </w:r>
    </w:p>
    <w:p w:rsidR="00DC5EE2" w:rsidRPr="00AD69F4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bookmarkEnd w:id="22"/>
    <w:bookmarkEnd w:id="23"/>
    <w:p w:rsidR="00DC5EE2" w:rsidRPr="00AD69F4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C5EE2" w:rsidRPr="0082553E" w:rsidRDefault="00DC5EE2" w:rsidP="00DC5EE2">
      <w:pPr>
        <w:pStyle w:val="1"/>
        <w:spacing w:line="360" w:lineRule="auto"/>
        <w:ind w:left="0" w:firstLine="708"/>
      </w:pPr>
      <w:bookmarkStart w:id="24" w:name="_Toc15434000"/>
      <w:r w:rsidRPr="0082553E">
        <w:lastRenderedPageBreak/>
        <w:t>3</w:t>
      </w:r>
      <w:r w:rsidR="0024667C">
        <w:t>.3</w:t>
      </w:r>
      <w:r w:rsidRPr="0082553E">
        <w:t xml:space="preserve"> Методические рекомендации по подготовке к рубежному контролю</w:t>
      </w:r>
      <w:bookmarkEnd w:id="24"/>
    </w:p>
    <w:p w:rsidR="00DC5EE2" w:rsidRDefault="00DC5EE2" w:rsidP="00DC5E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C5EE2" w:rsidRPr="006454D5" w:rsidRDefault="00DC5EE2" w:rsidP="00DC5E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DC5EE2" w:rsidRPr="0082553E" w:rsidRDefault="0024667C" w:rsidP="00DC5EE2">
      <w:pPr>
        <w:pStyle w:val="1"/>
        <w:spacing w:line="360" w:lineRule="auto"/>
      </w:pPr>
      <w:bookmarkStart w:id="25" w:name="_Toc536703847"/>
      <w:bookmarkStart w:id="26" w:name="_Toc292616"/>
      <w:bookmarkStart w:id="27" w:name="_Toc375868"/>
      <w:bookmarkStart w:id="28" w:name="_Toc387540"/>
      <w:bookmarkStart w:id="29" w:name="_Toc15434001"/>
      <w:r>
        <w:t>3.4</w:t>
      </w:r>
      <w:r w:rsidR="00DC5EE2" w:rsidRPr="0082553E">
        <w:t xml:space="preserve"> Методические рекомендации по подготовке докладов и выступлений</w:t>
      </w:r>
      <w:bookmarkEnd w:id="25"/>
      <w:bookmarkEnd w:id="26"/>
      <w:bookmarkEnd w:id="27"/>
      <w:bookmarkEnd w:id="28"/>
      <w:bookmarkEnd w:id="29"/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D55040">
        <w:rPr>
          <w:sz w:val="28"/>
          <w:szCs w:val="28"/>
        </w:rPr>
        <w:t>е(</w:t>
      </w:r>
      <w:proofErr w:type="gramEnd"/>
      <w:r w:rsidRPr="00D55040">
        <w:rPr>
          <w:sz w:val="28"/>
          <w:szCs w:val="28"/>
        </w:rPr>
        <w:t xml:space="preserve">опровержение), заключение.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DC5EE2" w:rsidRPr="00D55040" w:rsidRDefault="00DC5EE2" w:rsidP="00DC5EE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DC5EE2" w:rsidRPr="00D55040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DC5EE2" w:rsidRDefault="00DC5EE2" w:rsidP="00DC5EE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AD69F4" w:rsidRPr="0082553E" w:rsidRDefault="0024667C" w:rsidP="00AD69F4">
      <w:pPr>
        <w:pStyle w:val="1"/>
        <w:spacing w:line="360" w:lineRule="auto"/>
      </w:pPr>
      <w:bookmarkStart w:id="30" w:name="_Toc15434002"/>
      <w:r>
        <w:lastRenderedPageBreak/>
        <w:t>3.5</w:t>
      </w:r>
      <w:r w:rsidR="00AD69F4" w:rsidRPr="0082553E">
        <w:t xml:space="preserve"> Методические рекомендации по созданию презентаций</w:t>
      </w:r>
      <w:bookmarkEnd w:id="16"/>
      <w:bookmarkEnd w:id="17"/>
      <w:bookmarkEnd w:id="18"/>
      <w:bookmarkEnd w:id="19"/>
      <w:bookmarkEnd w:id="30"/>
    </w:p>
    <w:p w:rsidR="00AD69F4" w:rsidRPr="0082022C" w:rsidRDefault="00AD69F4" w:rsidP="00AD69F4">
      <w:pPr>
        <w:spacing w:after="0" w:line="360" w:lineRule="auto"/>
      </w:pP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 xml:space="preserve"> как печатный материал.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наглядности, помогает в раскрытии стержневой идеи выступления. В этом случае к слайдам предъявляются следующие требования: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AD69F4" w:rsidRPr="00D55040" w:rsidRDefault="00AD69F4" w:rsidP="00AD69F4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AD69F4" w:rsidRPr="00D55040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AD69F4" w:rsidRPr="003808BE" w:rsidRDefault="00AD69F4" w:rsidP="00AD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AD69F4" w:rsidRPr="006030D2" w:rsidRDefault="0024667C" w:rsidP="00270FD1">
      <w:pPr>
        <w:pStyle w:val="1"/>
        <w:ind w:left="0" w:firstLine="708"/>
      </w:pPr>
      <w:bookmarkStart w:id="31" w:name="_Toc536703849"/>
      <w:bookmarkStart w:id="32" w:name="_Toc292618"/>
      <w:bookmarkStart w:id="33" w:name="_Toc375870"/>
      <w:bookmarkStart w:id="34" w:name="_Toc387542"/>
      <w:bookmarkStart w:id="35" w:name="_Toc15434003"/>
      <w:r>
        <w:lastRenderedPageBreak/>
        <w:t>3.6</w:t>
      </w:r>
      <w:r w:rsidR="00AD69F4">
        <w:t xml:space="preserve"> </w:t>
      </w:r>
      <w:r w:rsidR="00AD69F4" w:rsidRPr="006030D2">
        <w:t xml:space="preserve">Методические </w:t>
      </w:r>
      <w:r w:rsidR="00270FD1">
        <w:t>рекомендации</w:t>
      </w:r>
      <w:r w:rsidR="00AD69F4" w:rsidRPr="006030D2">
        <w:t xml:space="preserve"> по </w:t>
      </w:r>
      <w:r w:rsidR="00AD69F4">
        <w:t xml:space="preserve">выполнению заданий </w:t>
      </w:r>
      <w:r w:rsidR="00AD69F4" w:rsidRPr="006030D2">
        <w:t xml:space="preserve">творческого </w:t>
      </w:r>
      <w:r w:rsidR="00AD69F4">
        <w:t>уровня</w:t>
      </w:r>
      <w:bookmarkEnd w:id="31"/>
      <w:bookmarkEnd w:id="32"/>
      <w:bookmarkEnd w:id="33"/>
      <w:bookmarkEnd w:id="34"/>
      <w:bookmarkEnd w:id="35"/>
      <w:r w:rsidR="00AD69F4" w:rsidRPr="006030D2">
        <w:t xml:space="preserve">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AD69F4" w:rsidRPr="006030D2" w:rsidRDefault="00AD69F4" w:rsidP="00AD69F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AD69F4" w:rsidRDefault="00AD69F4" w:rsidP="00270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AD69F4" w:rsidRDefault="00270FD1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9F4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AD69F4" w:rsidRPr="006030D2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AD69F4" w:rsidRPr="006030D2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81AE0" w:rsidRPr="00AD69F4" w:rsidRDefault="00AD69F4" w:rsidP="00AD6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13"/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36" w:name="_Toc534396314"/>
      <w:bookmarkStart w:id="37" w:name="_Toc15434004"/>
      <w:bookmarkEnd w:id="5"/>
      <w:r w:rsidRPr="00264CDA">
        <w:rPr>
          <w:sz w:val="32"/>
        </w:rPr>
        <w:t>4 Контроль и управление самостоятельной работой студентов</w:t>
      </w:r>
      <w:bookmarkEnd w:id="36"/>
      <w:bookmarkEnd w:id="37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14581" w:rsidRPr="00014581">
        <w:rPr>
          <w:rFonts w:ascii="Times New Roman" w:hAnsi="Times New Roman" w:cs="Times New Roman"/>
          <w:sz w:val="28"/>
        </w:rPr>
        <w:t>Заповедное дело и охрана природы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</w:t>
      </w:r>
      <w:r w:rsidR="00246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86CAD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CAD" w:rsidRPr="00612B38" w:rsidRDefault="00D86CAD" w:rsidP="00D86CAD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D86CAD" w:rsidRPr="00612B38" w:rsidRDefault="00D86CAD" w:rsidP="00D86CAD">
      <w:pPr>
        <w:pStyle w:val="ReportMain"/>
        <w:numPr>
          <w:ilvl w:val="0"/>
          <w:numId w:val="31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D86CAD" w:rsidRPr="00316EE4" w:rsidRDefault="00D86CAD" w:rsidP="00D86CAD">
      <w:pPr>
        <w:pStyle w:val="ReportMain"/>
        <w:numPr>
          <w:ilvl w:val="0"/>
          <w:numId w:val="31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D86CAD" w:rsidRPr="00316EE4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AD" w:rsidRPr="002D6466" w:rsidRDefault="00D86CAD" w:rsidP="00D86CA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270FD1" w:rsidRDefault="00270FD1" w:rsidP="00D86CAD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9" w:name="_Toc534396315"/>
      <w:bookmarkStart w:id="40" w:name="_Toc534403054"/>
      <w:bookmarkStart w:id="41" w:name="_Toc534660599"/>
      <w:bookmarkStart w:id="42" w:name="_Toc646122"/>
      <w:bookmarkStart w:id="43" w:name="_Toc2003925"/>
    </w:p>
    <w:p w:rsidR="00D86CAD" w:rsidRPr="00270FD1" w:rsidRDefault="00D86CAD" w:rsidP="00270FD1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9"/>
      <w:bookmarkEnd w:id="40"/>
      <w:bookmarkEnd w:id="41"/>
      <w:bookmarkEnd w:id="42"/>
      <w:bookmarkEnd w:id="43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D86CAD" w:rsidRPr="002D6466" w:rsidTr="0092076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6CAD" w:rsidRPr="002D6466" w:rsidRDefault="00D86CAD" w:rsidP="0092076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D86CAD" w:rsidRDefault="00D86CAD" w:rsidP="00D86CAD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7CD" w:rsidRDefault="00E737CD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37CD" w:rsidRPr="00E737CD" w:rsidRDefault="00644501" w:rsidP="00E737CD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 w:rsidR="004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должен продемонстрировать, что он «усвоил» все, что требуется по программе обучения (или по программе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29" w:rsidRDefault="00C42429" w:rsidP="00FF0076">
      <w:pPr>
        <w:spacing w:after="0" w:line="240" w:lineRule="auto"/>
      </w:pPr>
      <w:r>
        <w:separator/>
      </w:r>
    </w:p>
  </w:endnote>
  <w:endnote w:type="continuationSeparator" w:id="0">
    <w:p w:rsidR="00C42429" w:rsidRDefault="00C4242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1DE" w:rsidRPr="004451DE" w:rsidRDefault="001F3859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="004451DE"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8E4FF8">
          <w:rPr>
            <w:rFonts w:ascii="Times New Roman" w:hAnsi="Times New Roman" w:cs="Times New Roman"/>
            <w:noProof/>
          </w:rPr>
          <w:t>20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29" w:rsidRDefault="00C42429" w:rsidP="00FF0076">
      <w:pPr>
        <w:spacing w:after="0" w:line="240" w:lineRule="auto"/>
      </w:pPr>
      <w:r>
        <w:separator/>
      </w:r>
    </w:p>
  </w:footnote>
  <w:footnote w:type="continuationSeparator" w:id="0">
    <w:p w:rsidR="00C42429" w:rsidRDefault="00C4242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2EA1"/>
    <w:rsid w:val="00010FB0"/>
    <w:rsid w:val="00014581"/>
    <w:rsid w:val="000234C4"/>
    <w:rsid w:val="00037786"/>
    <w:rsid w:val="00046231"/>
    <w:rsid w:val="000776FB"/>
    <w:rsid w:val="000B1CE8"/>
    <w:rsid w:val="000B3D80"/>
    <w:rsid w:val="000D1882"/>
    <w:rsid w:val="000D4E2B"/>
    <w:rsid w:val="000F7C15"/>
    <w:rsid w:val="00101781"/>
    <w:rsid w:val="001365F7"/>
    <w:rsid w:val="0014634D"/>
    <w:rsid w:val="00183575"/>
    <w:rsid w:val="0019189A"/>
    <w:rsid w:val="001C2567"/>
    <w:rsid w:val="001D5F26"/>
    <w:rsid w:val="001F3859"/>
    <w:rsid w:val="00231010"/>
    <w:rsid w:val="00233503"/>
    <w:rsid w:val="0024667C"/>
    <w:rsid w:val="002477E3"/>
    <w:rsid w:val="002506E7"/>
    <w:rsid w:val="002555CA"/>
    <w:rsid w:val="00264CDA"/>
    <w:rsid w:val="00270FD1"/>
    <w:rsid w:val="00281AE0"/>
    <w:rsid w:val="002A6B43"/>
    <w:rsid w:val="002A70A8"/>
    <w:rsid w:val="002B7629"/>
    <w:rsid w:val="002D6C9C"/>
    <w:rsid w:val="002E18CB"/>
    <w:rsid w:val="002E7D03"/>
    <w:rsid w:val="002F5714"/>
    <w:rsid w:val="003260D6"/>
    <w:rsid w:val="00355893"/>
    <w:rsid w:val="003839C7"/>
    <w:rsid w:val="003A2F87"/>
    <w:rsid w:val="003A4D73"/>
    <w:rsid w:val="003E0C79"/>
    <w:rsid w:val="003F3CD2"/>
    <w:rsid w:val="00403C0A"/>
    <w:rsid w:val="00416F1F"/>
    <w:rsid w:val="004451DE"/>
    <w:rsid w:val="00446EAC"/>
    <w:rsid w:val="00492911"/>
    <w:rsid w:val="004A5996"/>
    <w:rsid w:val="004B0956"/>
    <w:rsid w:val="004D1E55"/>
    <w:rsid w:val="004D2C9E"/>
    <w:rsid w:val="004D7923"/>
    <w:rsid w:val="00553C6A"/>
    <w:rsid w:val="00574159"/>
    <w:rsid w:val="005D5474"/>
    <w:rsid w:val="00604D48"/>
    <w:rsid w:val="00610F0E"/>
    <w:rsid w:val="00644501"/>
    <w:rsid w:val="006454D5"/>
    <w:rsid w:val="006B4517"/>
    <w:rsid w:val="006E4BF3"/>
    <w:rsid w:val="00733C5E"/>
    <w:rsid w:val="00735B2B"/>
    <w:rsid w:val="00763DD3"/>
    <w:rsid w:val="007716C5"/>
    <w:rsid w:val="007A2D94"/>
    <w:rsid w:val="00805F85"/>
    <w:rsid w:val="0082553E"/>
    <w:rsid w:val="008533FE"/>
    <w:rsid w:val="00890422"/>
    <w:rsid w:val="008A4ADB"/>
    <w:rsid w:val="008D4983"/>
    <w:rsid w:val="008D4D99"/>
    <w:rsid w:val="008E4FF8"/>
    <w:rsid w:val="00924331"/>
    <w:rsid w:val="009838CD"/>
    <w:rsid w:val="009B25D1"/>
    <w:rsid w:val="009C0237"/>
    <w:rsid w:val="009F7473"/>
    <w:rsid w:val="00A17897"/>
    <w:rsid w:val="00AC51CD"/>
    <w:rsid w:val="00AD69F4"/>
    <w:rsid w:val="00AF3EBB"/>
    <w:rsid w:val="00B81E60"/>
    <w:rsid w:val="00BA3757"/>
    <w:rsid w:val="00BB77B8"/>
    <w:rsid w:val="00BD292A"/>
    <w:rsid w:val="00BD3E79"/>
    <w:rsid w:val="00C42429"/>
    <w:rsid w:val="00C529CC"/>
    <w:rsid w:val="00C6132D"/>
    <w:rsid w:val="00C6514C"/>
    <w:rsid w:val="00CB2227"/>
    <w:rsid w:val="00CD3B7C"/>
    <w:rsid w:val="00D15954"/>
    <w:rsid w:val="00D25B75"/>
    <w:rsid w:val="00D8599E"/>
    <w:rsid w:val="00D86CAD"/>
    <w:rsid w:val="00DC3778"/>
    <w:rsid w:val="00DC5EE2"/>
    <w:rsid w:val="00E737CD"/>
    <w:rsid w:val="00E87CBE"/>
    <w:rsid w:val="00ED2D70"/>
    <w:rsid w:val="00EE4CC8"/>
    <w:rsid w:val="00F668F9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3896-3C0F-49B7-9588-B560DD62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51</cp:revision>
  <cp:lastPrinted>2020-01-14T04:35:00Z</cp:lastPrinted>
  <dcterms:created xsi:type="dcterms:W3CDTF">2017-01-18T09:17:00Z</dcterms:created>
  <dcterms:modified xsi:type="dcterms:W3CDTF">2020-01-14T04:36:00Z</dcterms:modified>
</cp:coreProperties>
</file>