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4305AF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4305AF" w:rsidRPr="008D4B91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 xml:space="preserve">(код и </w:t>
      </w:r>
      <w:r w:rsidRPr="008D4B91">
        <w:rPr>
          <w:szCs w:val="28"/>
          <w:vertAlign w:val="superscript"/>
        </w:rPr>
        <w:t>наименование направления подготовки)</w:t>
      </w:r>
    </w:p>
    <w:p w:rsidR="008D4B91" w:rsidRPr="008D4B91" w:rsidRDefault="008D4B91" w:rsidP="008D4B91">
      <w:pPr>
        <w:pStyle w:val="ReportHead"/>
        <w:suppressAutoHyphens/>
        <w:rPr>
          <w:i/>
          <w:szCs w:val="28"/>
          <w:u w:val="single"/>
        </w:rPr>
      </w:pPr>
      <w:r w:rsidRPr="008D4B91">
        <w:rPr>
          <w:i/>
          <w:szCs w:val="28"/>
          <w:u w:val="single"/>
        </w:rPr>
        <w:t>Начальное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8D4B91">
        <w:rPr>
          <w:szCs w:val="28"/>
          <w:vertAlign w:val="superscript"/>
        </w:rPr>
        <w:t xml:space="preserve"> (наименование направленности</w:t>
      </w:r>
      <w:r w:rsidRPr="004305AF">
        <w:rPr>
          <w:szCs w:val="28"/>
          <w:vertAlign w:val="superscript"/>
        </w:rPr>
        <w:t xml:space="preserve"> (профиля) образовательной программы)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263421" w:rsidP="00023B8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023B86" w:rsidRPr="004305AF">
        <w:rPr>
          <w:i/>
          <w:szCs w:val="28"/>
          <w:u w:val="single"/>
        </w:rPr>
        <w:t>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3616D9" w:rsidRDefault="004305AF" w:rsidP="00263421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lastRenderedPageBreak/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</w:t>
      </w:r>
      <w:r w:rsidR="00C41853" w:rsidRPr="00063CC1">
        <w:rPr>
          <w:sz w:val="24"/>
          <w:szCs w:val="24"/>
        </w:rPr>
        <w:lastRenderedPageBreak/>
        <w:t xml:space="preserve">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тицы равен 6%, ожидаемый уровень инфляции 3%, относительное отклонение реального ВНП от </w:t>
      </w:r>
      <w:r w:rsidR="00C41853" w:rsidRPr="00063CC1">
        <w:rPr>
          <w:sz w:val="24"/>
          <w:szCs w:val="24"/>
        </w:rPr>
        <w:lastRenderedPageBreak/>
        <w:t>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lastRenderedPageBreak/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</w:t>
            </w:r>
            <w:r w:rsidRPr="001428F9">
              <w:rPr>
                <w:szCs w:val="24"/>
              </w:rPr>
              <w:lastRenderedPageBreak/>
              <w:t>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1. Полнота выполнения </w:t>
            </w:r>
            <w:r w:rsidRPr="001428F9">
              <w:rPr>
                <w:szCs w:val="24"/>
              </w:rPr>
              <w:lastRenderedPageBreak/>
              <w:t>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</w:t>
            </w:r>
            <w:r w:rsidRPr="001428F9">
              <w:rPr>
                <w:szCs w:val="24"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lastRenderedPageBreak/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8D4B9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8D4B91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>м в Универ</w:t>
      </w:r>
      <w:bookmarkStart w:id="8" w:name="_GoBack"/>
      <w:bookmarkEnd w:id="8"/>
      <w:r>
        <w:rPr>
          <w:sz w:val="24"/>
          <w:szCs w:val="24"/>
        </w:rPr>
        <w:t xml:space="preserve">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D4B91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D54E4"/>
    <w:rsid w:val="00230842"/>
    <w:rsid w:val="00263421"/>
    <w:rsid w:val="003B0627"/>
    <w:rsid w:val="004305AF"/>
    <w:rsid w:val="004415E7"/>
    <w:rsid w:val="00442755"/>
    <w:rsid w:val="00473534"/>
    <w:rsid w:val="004A0DCC"/>
    <w:rsid w:val="005173B4"/>
    <w:rsid w:val="005A0864"/>
    <w:rsid w:val="00614260"/>
    <w:rsid w:val="0069660D"/>
    <w:rsid w:val="006B3F8C"/>
    <w:rsid w:val="00823E7C"/>
    <w:rsid w:val="008326EB"/>
    <w:rsid w:val="00851D15"/>
    <w:rsid w:val="008D4B91"/>
    <w:rsid w:val="009646CD"/>
    <w:rsid w:val="0099157B"/>
    <w:rsid w:val="00A90CBF"/>
    <w:rsid w:val="00AA782B"/>
    <w:rsid w:val="00B322A4"/>
    <w:rsid w:val="00B36DD7"/>
    <w:rsid w:val="00BF7308"/>
    <w:rsid w:val="00C276FA"/>
    <w:rsid w:val="00C41853"/>
    <w:rsid w:val="00D14F6A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BA4B-D32E-4B02-AB60-C34F4336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10950</Words>
  <Characters>62416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2022-01-23T07:44:00Z</dcterms:created>
  <dcterms:modified xsi:type="dcterms:W3CDTF">2022-01-23T07:45:00Z</dcterms:modified>
</cp:coreProperties>
</file>