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C" w:rsidRDefault="00602E1C" w:rsidP="00CA390D">
      <w:pPr>
        <w:pStyle w:val="ReportHead"/>
        <w:suppressAutoHyphens/>
        <w:rPr>
          <w:sz w:val="24"/>
        </w:rPr>
      </w:pPr>
    </w:p>
    <w:p w:rsidR="00602E1C" w:rsidRPr="00602E1C" w:rsidRDefault="00602E1C" w:rsidP="00602E1C">
      <w:pPr>
        <w:pStyle w:val="ReportHead"/>
        <w:suppressAutoHyphens/>
        <w:jc w:val="right"/>
        <w:rPr>
          <w:b/>
          <w:i/>
          <w:sz w:val="24"/>
        </w:rPr>
      </w:pPr>
      <w:r w:rsidRPr="00602E1C">
        <w:rPr>
          <w:b/>
          <w:i/>
          <w:sz w:val="24"/>
        </w:rPr>
        <w:t>На правах рукописи</w:t>
      </w:r>
    </w:p>
    <w:p w:rsidR="00602E1C" w:rsidRDefault="00602E1C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D50D98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602E1C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602E1C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2023</w:t>
      </w:r>
    </w:p>
    <w:p w:rsidR="00602E1C" w:rsidRPr="00602E1C" w:rsidRDefault="00602E1C" w:rsidP="00602E1C">
      <w:pPr>
        <w:tabs>
          <w:tab w:val="left" w:pos="6585"/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02E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Составитель: </w:t>
      </w:r>
      <w:r w:rsidRPr="00602E1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Шумских Ю.Л.</w:t>
      </w:r>
      <w:r w:rsidRPr="00602E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02E1C" w:rsidRPr="00602E1C" w:rsidRDefault="00602E1C" w:rsidP="0060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2E1C" w:rsidRPr="00602E1C" w:rsidRDefault="00602E1C" w:rsidP="00602E1C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2E1C" w:rsidRPr="00602E1C" w:rsidRDefault="00602E1C" w:rsidP="00602E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рассмотрены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одобрены на заседании кафедры юриспруденции</w:t>
      </w:r>
    </w:p>
    <w:p w:rsidR="00602E1C" w:rsidRPr="00602E1C" w:rsidRDefault="00602E1C" w:rsidP="00602E1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2E1C" w:rsidRPr="00602E1C" w:rsidRDefault="00602E1C" w:rsidP="00602E1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02E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Заведующий кафедрой 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Ковалева О.А.</w:t>
      </w: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02E1C" w:rsidRPr="00602E1C" w:rsidRDefault="00602E1C" w:rsidP="00602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02E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Методические указания являются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Арбитражный процесс</w:t>
      </w:r>
      <w:r w:rsidRPr="00602E1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2E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02E1C" w:rsidRPr="00602E1C" w:rsidRDefault="00602E1C" w:rsidP="00602E1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2E1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3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6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5838C8">
        <w:rPr>
          <w:rFonts w:ascii="Times New Roman" w:hAnsi="Times New Roman" w:cs="Times New Roman"/>
          <w:sz w:val="28"/>
          <w:szCs w:val="28"/>
        </w:rPr>
        <w:t>8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подготовке к </w:t>
      </w:r>
      <w:r w:rsidR="00755A46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A46" w:rsidRDefault="00755A46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8C8" w:rsidRDefault="005838C8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работа с ресурсами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Internet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электронными системами (znanium.com, «Университетская библиотека ONLINE»), справочно-правовой системой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КонсультанПлюс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сдаче </w:t>
      </w:r>
      <w:r w:rsidR="00316D79">
        <w:rPr>
          <w:rFonts w:ascii="Times New Roman" w:eastAsia="Times New Roman" w:hAnsi="Times New Roman"/>
          <w:bCs/>
          <w:sz w:val="28"/>
          <w:szCs w:val="28"/>
        </w:rPr>
        <w:t>зачета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316D79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</w:t>
      </w:r>
      <w:r w:rsidR="0026222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316D79">
        <w:rPr>
          <w:rFonts w:ascii="Times New Roman" w:eastAsia="Times New Roman" w:hAnsi="Times New Roman"/>
          <w:bCs/>
          <w:sz w:val="28"/>
          <w:szCs w:val="28"/>
        </w:rPr>
        <w:t>рабочей программой по дисциплине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316D79">
        <w:rPr>
          <w:rFonts w:ascii="Times New Roman" w:eastAsia="Times New Roman" w:hAnsi="Times New Roman"/>
          <w:bCs/>
          <w:sz w:val="28"/>
          <w:szCs w:val="28"/>
        </w:rPr>
        <w:t>зачету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16D79" w:rsidRDefault="00316D79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6D79" w:rsidRDefault="00316D79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</w:t>
      </w:r>
      <w:r w:rsidRPr="002F02F8">
        <w:rPr>
          <w:rFonts w:ascii="Times New Roman" w:hAnsi="Times New Roman" w:cs="Times New Roman"/>
          <w:sz w:val="28"/>
          <w:szCs w:val="28"/>
        </w:rPr>
        <w:lastRenderedPageBreak/>
        <w:t>Например, сокращение «г-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ками, правильно распределяя время. Способ чтения определяется его целью. Одна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Pr="003E2504" w:rsidRDefault="005838C8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агрегированности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838C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838C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838C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838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связаннее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838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lastRenderedPageBreak/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="0008374C">
        <w:rPr>
          <w:rStyle w:val="a7"/>
          <w:rFonts w:ascii="Times New Roman" w:hAnsi="Times New Roman" w:cs="Times New Roman"/>
          <w:sz w:val="28"/>
          <w:szCs w:val="28"/>
        </w:rPr>
        <w:t>а 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083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6D79" w:rsidRPr="00776ECC" w:rsidRDefault="00316D79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делится на части – истец, ответчик, представители, судья, и т.д. (всего – 12 чел).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5838C8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C91CA6"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</w:t>
      </w:r>
      <w:r w:rsidR="00755A46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C91CA6"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. Процесс подготовки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повторении материала перед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посетите консультацию к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, на которой вы сможете выяснить имеющиеся у вас вопросы по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теоретическому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 материалу, получить рекомендации преподавателя.</w:t>
      </w:r>
    </w:p>
    <w:p w:rsidR="00C91CA6" w:rsidRPr="00D73B4C" w:rsidRDefault="00C91CA6" w:rsidP="005838C8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День перед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зачетом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sectPr w:rsidR="00C91CA6" w:rsidRPr="00D73B4C" w:rsidSect="003F7C7A">
      <w:footerReference w:type="default" r:id="rId9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A8" w:rsidRDefault="004718A8" w:rsidP="009C4F41">
      <w:pPr>
        <w:spacing w:after="0" w:line="240" w:lineRule="auto"/>
      </w:pPr>
      <w:r>
        <w:separator/>
      </w:r>
    </w:p>
  </w:endnote>
  <w:endnote w:type="continuationSeparator" w:id="0">
    <w:p w:rsidR="004718A8" w:rsidRDefault="004718A8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D50D98">
          <w:rPr>
            <w:rFonts w:ascii="Times New Roman" w:hAnsi="Times New Roman" w:cs="Times New Roman"/>
            <w:noProof/>
            <w:sz w:val="24"/>
          </w:rPr>
          <w:t>2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A8" w:rsidRDefault="004718A8" w:rsidP="009C4F41">
      <w:pPr>
        <w:spacing w:after="0" w:line="240" w:lineRule="auto"/>
      </w:pPr>
      <w:r>
        <w:separator/>
      </w:r>
    </w:p>
  </w:footnote>
  <w:footnote w:type="continuationSeparator" w:id="0">
    <w:p w:rsidR="004718A8" w:rsidRDefault="004718A8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403D5"/>
    <w:rsid w:val="00053DD2"/>
    <w:rsid w:val="0008374C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16D79"/>
    <w:rsid w:val="0033038F"/>
    <w:rsid w:val="0034585D"/>
    <w:rsid w:val="0038613E"/>
    <w:rsid w:val="003C6536"/>
    <w:rsid w:val="003E0F16"/>
    <w:rsid w:val="003E2504"/>
    <w:rsid w:val="003F7C7A"/>
    <w:rsid w:val="00422C8C"/>
    <w:rsid w:val="00437874"/>
    <w:rsid w:val="004718A8"/>
    <w:rsid w:val="00496F2C"/>
    <w:rsid w:val="004B71DC"/>
    <w:rsid w:val="004E6896"/>
    <w:rsid w:val="004F6B15"/>
    <w:rsid w:val="005065D2"/>
    <w:rsid w:val="00514FF3"/>
    <w:rsid w:val="00566F3F"/>
    <w:rsid w:val="005838C8"/>
    <w:rsid w:val="005D68F2"/>
    <w:rsid w:val="00602E1C"/>
    <w:rsid w:val="00621177"/>
    <w:rsid w:val="006A2CCB"/>
    <w:rsid w:val="006E6547"/>
    <w:rsid w:val="006F462B"/>
    <w:rsid w:val="006F5040"/>
    <w:rsid w:val="007331A3"/>
    <w:rsid w:val="00755A46"/>
    <w:rsid w:val="007643D6"/>
    <w:rsid w:val="00776ECC"/>
    <w:rsid w:val="00796AE1"/>
    <w:rsid w:val="007E6A4B"/>
    <w:rsid w:val="00844069"/>
    <w:rsid w:val="008666AF"/>
    <w:rsid w:val="00880197"/>
    <w:rsid w:val="008B26A2"/>
    <w:rsid w:val="00914B24"/>
    <w:rsid w:val="00941B2E"/>
    <w:rsid w:val="0097311D"/>
    <w:rsid w:val="0099662D"/>
    <w:rsid w:val="009C4F41"/>
    <w:rsid w:val="009D599E"/>
    <w:rsid w:val="009D6E3F"/>
    <w:rsid w:val="00A06DE0"/>
    <w:rsid w:val="00A075F2"/>
    <w:rsid w:val="00A25FE1"/>
    <w:rsid w:val="00AA1506"/>
    <w:rsid w:val="00AD16C3"/>
    <w:rsid w:val="00AE09AC"/>
    <w:rsid w:val="00B67BF4"/>
    <w:rsid w:val="00B726F9"/>
    <w:rsid w:val="00BA7074"/>
    <w:rsid w:val="00BB6363"/>
    <w:rsid w:val="00BC5AE7"/>
    <w:rsid w:val="00C05FA7"/>
    <w:rsid w:val="00C07FDF"/>
    <w:rsid w:val="00C11CC8"/>
    <w:rsid w:val="00C61590"/>
    <w:rsid w:val="00C84A35"/>
    <w:rsid w:val="00C91CA6"/>
    <w:rsid w:val="00CA390D"/>
    <w:rsid w:val="00CA77E5"/>
    <w:rsid w:val="00D10E9D"/>
    <w:rsid w:val="00D433ED"/>
    <w:rsid w:val="00D4485A"/>
    <w:rsid w:val="00D47509"/>
    <w:rsid w:val="00D50D98"/>
    <w:rsid w:val="00D73B4C"/>
    <w:rsid w:val="00DB1F55"/>
    <w:rsid w:val="00DC59B8"/>
    <w:rsid w:val="00E36D9E"/>
    <w:rsid w:val="00F37DA8"/>
    <w:rsid w:val="00F4178F"/>
    <w:rsid w:val="00F72274"/>
    <w:rsid w:val="00F96312"/>
    <w:rsid w:val="00FA228C"/>
    <w:rsid w:val="00FB1945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B0F5-E2F0-4BA5-A70A-55EC92B0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эип</cp:lastModifiedBy>
  <cp:revision>4</cp:revision>
  <cp:lastPrinted>2023-09-14T05:12:00Z</cp:lastPrinted>
  <dcterms:created xsi:type="dcterms:W3CDTF">2023-09-14T05:18:00Z</dcterms:created>
  <dcterms:modified xsi:type="dcterms:W3CDTF">2023-09-14T05:20:00Z</dcterms:modified>
</cp:coreProperties>
</file>