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255CEF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«Б.1.В.ДВ.7.2 Профессиональная этика и этикет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426AD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25A3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2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25A3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этика и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426AD7" w:rsidRPr="00426AD7">
        <w:rPr>
          <w:sz w:val="28"/>
          <w:szCs w:val="28"/>
        </w:rPr>
        <w:t>за</w:t>
      </w:r>
      <w:r w:rsidR="008D7778" w:rsidRPr="0042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этика и этикет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25A3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2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способы сбора научной информации;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основы математической и статистической обработки исследуемого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риала; методику работы с современными электронно-вычислительными машинами и ПК; методы обработки данных, необходимых для решения профессиональных задач.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осуществлять сбор, обработку и анализ информационных данных;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>анализировать данные, необходимые для решения тех или иных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технологией сбора первичной и вторичной научной информации;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 методами обработки данных, необходимых для решения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задач, навыками выполнения соответствующих аналитических отчетов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методами сбора данных для выполнения информационного обзора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740F3A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EC16CB" w:rsidRDefault="00EC16CB" w:rsidP="00EC16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C16CB" w:rsidRDefault="00EC16CB" w:rsidP="00EC16CB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C16CB" w:rsidRDefault="00EC16CB" w:rsidP="00EC16CB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EC16CB" w:rsidTr="00EC16CB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C16CB" w:rsidTr="00EC16CB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</w:tr>
      <w:tr w:rsidR="00EC16CB" w:rsidTr="00EC16CB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EC16CB" w:rsidRDefault="00EC16CB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C16CB" w:rsidTr="00EC16CB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B" w:rsidRDefault="00EC16CB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озвучиваются в аудитории на практическом </w:t>
      </w:r>
      <w:r w:rsidRPr="00BF6771">
        <w:rPr>
          <w:sz w:val="28"/>
          <w:szCs w:val="28"/>
        </w:rPr>
        <w:lastRenderedPageBreak/>
        <w:t>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1C4FB9" w:rsidRDefault="001C4FB9" w:rsidP="001C4FB9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1C4FB9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использования средств выразительности деловой речи.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Нормы этичного поведения руководителя.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решения спорных вопросов, конфликтных ситуаций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Этикет и имидж делового человека.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деловых приемов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lastRenderedPageBreak/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речи.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ED5AEC">
        <w:rPr>
          <w:rFonts w:eastAsia="Times New Roman"/>
        </w:rPr>
        <w:t>Культура речи в деловом общении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lastRenderedPageBreak/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3F477C">
        <w:rPr>
          <w:rFonts w:eastAsia="Times New Roman"/>
        </w:rPr>
        <w:t>Этика использования средств выразительности деловой речи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Варьирование тональности выступления. Выделение главных мыслей. Постановка риторических вопросов. Использование форм диалога. Включение образных сравнений, поговорок и прочего. Использование примеров. Применение повторов.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компетенции ПК-7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E63C25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D8062E">
        <w:t xml:space="preserve"> </w:t>
      </w:r>
      <w:r w:rsidR="00E63C25">
        <w:rPr>
          <w:rFonts w:eastAsia="Times New Roman"/>
        </w:rPr>
        <w:t>Нормы этичного поведения руководителя</w:t>
      </w:r>
      <w:r w:rsidR="00E63C25">
        <w:t xml:space="preserve"> 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E63C25" w:rsidP="0044391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63C25">
        <w:rPr>
          <w:rFonts w:ascii="Calibri" w:eastAsia="Times New Roman" w:hAnsi="Calibri"/>
        </w:rPr>
        <w:t>Выполнение</w:t>
      </w:r>
      <w:r>
        <w:rPr>
          <w:rFonts w:ascii="Calibri" w:eastAsia="Times New Roman" w:hAnsi="Calibri"/>
        </w:rPr>
        <w:t xml:space="preserve"> руководителем задач координационного характера: представител</w:t>
      </w:r>
      <w:r>
        <w:rPr>
          <w:rFonts w:ascii="Calibri" w:eastAsia="Times New Roman" w:hAnsi="Calibri"/>
        </w:rPr>
        <w:t>ь</w:t>
      </w:r>
      <w:r>
        <w:rPr>
          <w:rFonts w:ascii="Calibri" w:eastAsia="Times New Roman" w:hAnsi="Calibri"/>
        </w:rPr>
        <w:t>ской,</w:t>
      </w:r>
      <w:r w:rsidR="0044391D">
        <w:rPr>
          <w:rFonts w:ascii="Calibri" w:eastAsia="Times New Roman" w:hAnsi="Calibri"/>
        </w:rPr>
        <w:t xml:space="preserve"> мотивационной, консультативной. Владение руководителем психологическими нормами в общении.</w:t>
      </w:r>
      <w:r w:rsidRPr="00E63C25">
        <w:rPr>
          <w:rFonts w:ascii="Calibri" w:eastAsia="Times New Roman" w:hAnsi="Calibri"/>
        </w:rPr>
        <w:t xml:space="preserve"> </w:t>
      </w:r>
      <w:r w:rsidR="002A4342"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</w:t>
      </w:r>
      <w:r w:rsidR="00D8062E">
        <w:rPr>
          <w:rFonts w:eastAsia="Times New Roman"/>
        </w:rPr>
        <w:t>о</w:t>
      </w:r>
      <w:r w:rsidR="00D8062E">
        <w:rPr>
          <w:rFonts w:eastAsia="Times New Roman"/>
        </w:rPr>
        <w:t>товки и проведения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44391D">
        <w:rPr>
          <w:rFonts w:eastAsia="Times New Roman"/>
        </w:rPr>
        <w:t xml:space="preserve">Этикет и имидж делового человека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4391D" w:rsidRPr="0044391D" w:rsidRDefault="0044391D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4391D">
        <w:rPr>
          <w:rFonts w:ascii="Calibri" w:eastAsia="Times New Roman" w:hAnsi="Calibri"/>
        </w:rPr>
        <w:t>Имидж как комплексное явление. Правильные модели поведения</w:t>
      </w:r>
      <w:r>
        <w:rPr>
          <w:rFonts w:ascii="Calibri" w:eastAsia="Times New Roman" w:hAnsi="Calibri"/>
        </w:rPr>
        <w:t>, критерии их в</w:t>
      </w:r>
      <w:r>
        <w:rPr>
          <w:rFonts w:ascii="Calibri" w:eastAsia="Times New Roman" w:hAnsi="Calibri"/>
        </w:rPr>
        <w:t>ы</w:t>
      </w:r>
      <w:r>
        <w:rPr>
          <w:rFonts w:ascii="Calibri" w:eastAsia="Times New Roman" w:hAnsi="Calibri"/>
        </w:rPr>
        <w:t>бора. Деловой этикет. Неофициальны</w:t>
      </w:r>
      <w:proofErr w:type="gramStart"/>
      <w:r>
        <w:rPr>
          <w:rFonts w:ascii="Calibri" w:eastAsia="Times New Roman" w:hAnsi="Calibri"/>
        </w:rPr>
        <w:t>й(</w:t>
      </w:r>
      <w:proofErr w:type="gramEnd"/>
      <w:r>
        <w:rPr>
          <w:rFonts w:ascii="Calibri" w:eastAsia="Times New Roman" w:hAnsi="Calibri"/>
        </w:rPr>
        <w:t xml:space="preserve">светский) этикет 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44391D">
        <w:rPr>
          <w:rFonts w:eastAsia="Times New Roman"/>
        </w:rPr>
        <w:t>Этикет деловых приемов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B3419C">
        <w:rPr>
          <w:rFonts w:ascii="Calibri" w:eastAsia="Times New Roman" w:hAnsi="Calibri"/>
        </w:rPr>
        <w:t>Выбор средств</w:t>
      </w:r>
      <w:r w:rsidR="00C26642">
        <w:rPr>
          <w:rFonts w:ascii="Calibri" w:eastAsia="Times New Roman" w:hAnsi="Calibri"/>
        </w:rPr>
        <w:t xml:space="preserve"> приемов и переговоров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анализ необходимой для переговоров информации. Разработка плана перегов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ров. Формирование атмосферы взаимного доверия. Стадии ведения переговоров: подг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товка переговоров, процесс переговоров, достижение согласия Подходы ведения перег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воров: мягкий подход, жесткий подход, принципиальный подхо</w:t>
      </w:r>
      <w:proofErr w:type="gramStart"/>
      <w:r w:rsidR="00B3419C">
        <w:rPr>
          <w:rFonts w:ascii="Calibri" w:eastAsia="Times New Roman" w:hAnsi="Calibri"/>
        </w:rPr>
        <w:t>д(</w:t>
      </w:r>
      <w:proofErr w:type="gramEnd"/>
      <w:r w:rsidR="00B3419C">
        <w:rPr>
          <w:rFonts w:ascii="Calibri" w:eastAsia="Times New Roman" w:hAnsi="Calibri"/>
        </w:rPr>
        <w:t xml:space="preserve"> с учетом интересов сторон)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компетенции ПК-7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lastRenderedPageBreak/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9" w:rsidRDefault="001C4FB9" w:rsidP="00817BE6">
      <w:pPr>
        <w:spacing w:after="0" w:line="240" w:lineRule="auto"/>
      </w:pPr>
      <w:r>
        <w:separator/>
      </w:r>
    </w:p>
  </w:endnote>
  <w:endnote w:type="continuationSeparator" w:id="0">
    <w:p w:rsidR="001C4FB9" w:rsidRDefault="001C4FB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C4FB9" w:rsidRDefault="000D2924">
        <w:pPr>
          <w:pStyle w:val="a7"/>
          <w:jc w:val="center"/>
        </w:pPr>
        <w:fldSimple w:instr="PAGE   \* MERGEFORMAT">
          <w:r w:rsidR="00725A33">
            <w:rPr>
              <w:noProof/>
            </w:rPr>
            <w:t>2</w:t>
          </w:r>
        </w:fldSimple>
      </w:p>
    </w:sdtContent>
  </w:sdt>
  <w:p w:rsidR="001C4FB9" w:rsidRDefault="001C4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9" w:rsidRDefault="001C4FB9" w:rsidP="00817BE6">
      <w:pPr>
        <w:spacing w:after="0" w:line="240" w:lineRule="auto"/>
      </w:pPr>
      <w:r>
        <w:separator/>
      </w:r>
    </w:p>
  </w:footnote>
  <w:footnote w:type="continuationSeparator" w:id="0">
    <w:p w:rsidR="001C4FB9" w:rsidRDefault="001C4FB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D2924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1CB5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26AD7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21281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25A33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A3B0B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0AEA"/>
    <w:rsid w:val="00A628A9"/>
    <w:rsid w:val="00A73AA6"/>
    <w:rsid w:val="00A91AD6"/>
    <w:rsid w:val="00A9504F"/>
    <w:rsid w:val="00AA516C"/>
    <w:rsid w:val="00AB5865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124EE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16CB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234E-35CB-4EB7-811B-D3249855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27</Pages>
  <Words>8121</Words>
  <Characters>46292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2019-12-07T16:22:00Z</dcterms:modified>
</cp:coreProperties>
</file>