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7852B4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AF4D8E">
        <w:rPr>
          <w:i/>
          <w:sz w:val="24"/>
          <w:u w:val="single"/>
        </w:rPr>
        <w:t>,заочн</w:t>
      </w:r>
      <w:r w:rsidR="00431874">
        <w:rPr>
          <w:i/>
          <w:sz w:val="24"/>
          <w:u w:val="single"/>
        </w:rPr>
        <w:t>ая,очно-заочная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AF4D8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8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Бузулук: БГТИ </w:t>
      </w:r>
      <w:r w:rsidR="00AF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AF4D8E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F4A26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AF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заочной</w:t>
      </w:r>
      <w:r w:rsidR="00B3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очно-заочная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F4D8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F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4377B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4377BF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>тических и вместе с тем лаконических возможностей. В соответствии с этим значительную роль в оформлении презентации играет стр</w:t>
      </w:r>
      <w:r w:rsidR="00FC267B">
        <w:rPr>
          <w:color w:val="000000"/>
          <w:sz w:val="27"/>
          <w:szCs w:val="27"/>
        </w:rPr>
        <w:t>ук</w:t>
      </w:r>
      <w:r w:rsidR="00345519">
        <w:rPr>
          <w:color w:val="000000"/>
          <w:sz w:val="27"/>
          <w:szCs w:val="27"/>
        </w:rPr>
        <w:t>тура и выбор виз</w:t>
      </w:r>
      <w:r w:rsidR="00345519">
        <w:rPr>
          <w:color w:val="000000"/>
          <w:sz w:val="27"/>
          <w:szCs w:val="27"/>
        </w:rPr>
        <w:t>у</w:t>
      </w:r>
      <w:r w:rsidR="00FC267B">
        <w:rPr>
          <w:color w:val="000000"/>
          <w:sz w:val="27"/>
          <w:szCs w:val="27"/>
        </w:rPr>
        <w:t>альных предс</w:t>
      </w:r>
      <w:r w:rsidR="00345519">
        <w:rPr>
          <w:color w:val="000000"/>
          <w:sz w:val="27"/>
          <w:szCs w:val="27"/>
        </w:rPr>
        <w:t>тавлений элемента слайда.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FC267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  <w:r w:rsidR="00AF4D8E">
        <w:rPr>
          <w:b/>
        </w:rPr>
        <w:t>(очная форма обучения)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B331D8" w:rsidRPr="00B331D8" w:rsidRDefault="00B331D8" w:rsidP="00B331D8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spellStart"/>
      <w:proofErr w:type="gramEnd"/>
      <w:r w:rsidRPr="00B331D8">
        <w:t>очно-заочная</w:t>
      </w:r>
      <w:proofErr w:type="spellEnd"/>
      <w:r w:rsidRPr="00B331D8"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B331D8" w:rsidTr="00B331D8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12</w:t>
            </w:r>
          </w:p>
        </w:tc>
      </w:tr>
    </w:tbl>
    <w:p w:rsidR="00B331D8" w:rsidRDefault="00B331D8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FC267B" w:rsidRDefault="00FC267B" w:rsidP="00FC267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(семинары)(</w:t>
      </w:r>
      <w:r w:rsidRPr="00FC267B">
        <w:t>заочная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FC267B" w:rsidTr="00FC26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</w:tr>
    </w:tbl>
    <w:p w:rsidR="00FC267B" w:rsidRDefault="00FC267B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 xml:space="preserve">нечности, уникальности и множественности во Вселенной. Идея развития в философии. </w:t>
      </w:r>
      <w:r>
        <w:lastRenderedPageBreak/>
        <w:t>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</w:t>
      </w:r>
      <w:r w:rsidR="00FC267B">
        <w:t>иально-гуманитарные знания, 2020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</w:t>
      </w:r>
      <w:r w:rsidR="00FC267B">
        <w:t>журнал.- Оренбург: ГОУ ОГУ, 2020</w:t>
      </w:r>
      <w:r>
        <w:t xml:space="preserve">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5E0B1D">
        <w:pPr>
          <w:pStyle w:val="a7"/>
          <w:jc w:val="center"/>
        </w:pPr>
        <w:fldSimple w:instr="PAGE   \* MERGEFORMAT">
          <w:r w:rsidR="00B331D8">
            <w:rPr>
              <w:noProof/>
            </w:rPr>
            <w:t>2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27C8"/>
    <w:rsid w:val="000145E2"/>
    <w:rsid w:val="00016334"/>
    <w:rsid w:val="000224FD"/>
    <w:rsid w:val="000303CA"/>
    <w:rsid w:val="00033CF4"/>
    <w:rsid w:val="00041956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A3C20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304A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400ABA"/>
    <w:rsid w:val="004037EE"/>
    <w:rsid w:val="00431874"/>
    <w:rsid w:val="004377BF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4F7B6E"/>
    <w:rsid w:val="0050038B"/>
    <w:rsid w:val="005364C3"/>
    <w:rsid w:val="005612A7"/>
    <w:rsid w:val="005655FF"/>
    <w:rsid w:val="00572EE0"/>
    <w:rsid w:val="00576053"/>
    <w:rsid w:val="00577215"/>
    <w:rsid w:val="0059045F"/>
    <w:rsid w:val="005B4732"/>
    <w:rsid w:val="005D4EC5"/>
    <w:rsid w:val="005E0B1D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852B4"/>
    <w:rsid w:val="007B14A2"/>
    <w:rsid w:val="007B1540"/>
    <w:rsid w:val="007B7050"/>
    <w:rsid w:val="007C37D2"/>
    <w:rsid w:val="007F327D"/>
    <w:rsid w:val="00810134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A7657"/>
    <w:rsid w:val="00AC1419"/>
    <w:rsid w:val="00AF3812"/>
    <w:rsid w:val="00AF4D8E"/>
    <w:rsid w:val="00AF726C"/>
    <w:rsid w:val="00B07C18"/>
    <w:rsid w:val="00B212B6"/>
    <w:rsid w:val="00B331D8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4A26"/>
    <w:rsid w:val="00E143A0"/>
    <w:rsid w:val="00E2244A"/>
    <w:rsid w:val="00E32CEB"/>
    <w:rsid w:val="00E43E0B"/>
    <w:rsid w:val="00E548E6"/>
    <w:rsid w:val="00E604E5"/>
    <w:rsid w:val="00E7570F"/>
    <w:rsid w:val="00E847AC"/>
    <w:rsid w:val="00E84A4D"/>
    <w:rsid w:val="00E85676"/>
    <w:rsid w:val="00EC45E6"/>
    <w:rsid w:val="00EC6225"/>
    <w:rsid w:val="00EF0B65"/>
    <w:rsid w:val="00F023A0"/>
    <w:rsid w:val="00F14392"/>
    <w:rsid w:val="00F1559F"/>
    <w:rsid w:val="00F46FAD"/>
    <w:rsid w:val="00F82628"/>
    <w:rsid w:val="00F919E3"/>
    <w:rsid w:val="00FC267B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E32C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8BD9-28E9-4758-9328-7F8ACC58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27</Pages>
  <Words>8305</Words>
  <Characters>47341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69</cp:revision>
  <dcterms:created xsi:type="dcterms:W3CDTF">2016-10-09T16:26:00Z</dcterms:created>
  <dcterms:modified xsi:type="dcterms:W3CDTF">2020-01-11T16:26:00Z</dcterms:modified>
</cp:coreProperties>
</file>