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D856C9">
        <w:rPr>
          <w:rFonts w:ascii="Times New Roman" w:eastAsia="Calibri" w:hAnsi="Times New Roman" w:cs="Times New Roman"/>
          <w:sz w:val="24"/>
        </w:rPr>
        <w:t>юриспруденции</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FC18E6" w:rsidP="00656D7E">
      <w:pPr>
        <w:pStyle w:val="ReportHead"/>
        <w:widowControl w:val="0"/>
        <w:ind w:left="-567" w:firstLine="710"/>
        <w:rPr>
          <w:sz w:val="24"/>
        </w:rPr>
      </w:pPr>
      <w:r>
        <w:rPr>
          <w:sz w:val="24"/>
        </w:rPr>
        <w:t>Год набора 2020</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C1709F" w:rsidRDefault="00C1709F" w:rsidP="00C1709F">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8E5414">
        <w:rPr>
          <w:rFonts w:ascii="Times New Roman" w:eastAsia="Calibri" w:hAnsi="Times New Roman" w:cs="Times New Roman"/>
          <w:sz w:val="28"/>
          <w:szCs w:val="28"/>
        </w:rPr>
        <w:t>юриспруденции</w:t>
      </w:r>
      <w:r>
        <w:rPr>
          <w:rFonts w:ascii="Times New Roman" w:eastAsia="Calibri" w:hAnsi="Times New Roman" w:cs="Times New Roman"/>
          <w:sz w:val="28"/>
          <w:szCs w:val="28"/>
        </w:rPr>
        <w:t xml:space="preserve"> </w:t>
      </w:r>
    </w:p>
    <w:p w:rsidR="00C1709F" w:rsidRPr="0094171A" w:rsidRDefault="00C1709F" w:rsidP="00C1709F">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FC18E6" w:rsidRPr="00FC18E6" w:rsidRDefault="00FC18E6" w:rsidP="00FC18E6">
      <w:pPr>
        <w:tabs>
          <w:tab w:val="left" w:pos="10432"/>
        </w:tabs>
        <w:suppressAutoHyphens/>
        <w:spacing w:after="0" w:line="240" w:lineRule="auto"/>
        <w:jc w:val="both"/>
        <w:rPr>
          <w:rFonts w:ascii="Times New Roman" w:eastAsia="Calibri" w:hAnsi="Times New Roman" w:cs="Times New Roman"/>
          <w:i/>
          <w:sz w:val="24"/>
          <w:vertAlign w:val="superscript"/>
        </w:rPr>
      </w:pPr>
      <w:bookmarkStart w:id="1" w:name="_GoBack"/>
      <w:r w:rsidRPr="00FC18E6">
        <w:rPr>
          <w:rFonts w:ascii="Times New Roman" w:eastAsia="Calibri" w:hAnsi="Times New Roman" w:cs="Times New Roman"/>
          <w:sz w:val="28"/>
        </w:rPr>
        <w:t>Декан факультета экономики и права</w:t>
      </w:r>
      <w:r w:rsidRPr="00FC18E6">
        <w:rPr>
          <w:rFonts w:ascii="Times New Roman" w:eastAsia="Calibri" w:hAnsi="Times New Roman" w:cs="Times New Roman"/>
          <w:sz w:val="28"/>
          <w:u w:val="single"/>
        </w:rPr>
        <w:t xml:space="preserve">                                  О.Н. Григорьева</w:t>
      </w:r>
      <w:bookmarkEnd w:id="1"/>
      <w:r w:rsidRPr="00FC18E6">
        <w:rPr>
          <w:rFonts w:ascii="Times New Roman" w:eastAsia="Calibri" w:hAnsi="Times New Roman" w:cs="Times New Roman"/>
          <w:sz w:val="24"/>
          <w:u w:val="single"/>
        </w:rPr>
        <w:tab/>
      </w:r>
      <w:r w:rsidRPr="00FC18E6">
        <w:rPr>
          <w:rFonts w:ascii="Times New Roman" w:eastAsia="Calibri" w:hAnsi="Times New Roman" w:cs="Times New Roman"/>
          <w:i/>
          <w:sz w:val="24"/>
          <w:vertAlign w:val="superscript"/>
        </w:rPr>
        <w:t xml:space="preserve">     </w:t>
      </w:r>
    </w:p>
    <w:p w:rsidR="00FC18E6" w:rsidRPr="00FC18E6" w:rsidRDefault="00FC18E6" w:rsidP="00FC18E6">
      <w:pPr>
        <w:tabs>
          <w:tab w:val="left" w:pos="10432"/>
        </w:tabs>
        <w:suppressAutoHyphens/>
        <w:spacing w:after="0" w:line="240" w:lineRule="auto"/>
        <w:ind w:right="-142"/>
        <w:jc w:val="both"/>
        <w:rPr>
          <w:rFonts w:ascii="Times New Roman" w:eastAsia="Calibri" w:hAnsi="Times New Roman" w:cs="Times New Roman"/>
          <w:i/>
          <w:sz w:val="24"/>
          <w:vertAlign w:val="superscript"/>
        </w:rPr>
      </w:pPr>
      <w:r w:rsidRPr="00FC18E6">
        <w:rPr>
          <w:rFonts w:ascii="Times New Roman" w:eastAsia="Calibri" w:hAnsi="Times New Roman" w:cs="Times New Roman"/>
          <w:i/>
          <w:sz w:val="24"/>
          <w:vertAlign w:val="superscript"/>
        </w:rPr>
        <w:t xml:space="preserve">                                                                                                             подпись                        расшифровка подписи</w:t>
      </w: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C1709F" w:rsidRPr="00385278" w:rsidRDefault="00C1709F" w:rsidP="00C1709F">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C1709F" w:rsidRPr="0094171A" w:rsidRDefault="00C1709F" w:rsidP="00C1709F">
      <w:pPr>
        <w:suppressAutoHyphens/>
        <w:spacing w:after="0" w:line="240" w:lineRule="auto"/>
        <w:ind w:left="-284"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 xml:space="preserve">2 Требования к результатам обучения по дисциплине (таб. раздела 3 </w:t>
      </w:r>
      <w:r w:rsidRPr="00983F6F">
        <w:rPr>
          <w:rFonts w:ascii="Times New Roman" w:eastAsia="Times New Roman" w:hAnsi="Times New Roman" w:cs="Times New Roman"/>
          <w:b/>
          <w:sz w:val="28"/>
          <w:szCs w:val="28"/>
          <w:lang w:eastAsia="ru-RU"/>
        </w:rPr>
        <w:lastRenderedPageBreak/>
        <w:t>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закономерности, общее и особенное в эволюции </w:t>
            </w:r>
            <w:r w:rsidRPr="00983F6F">
              <w:rPr>
                <w:sz w:val="28"/>
                <w:szCs w:val="28"/>
              </w:rPr>
              <w:lastRenderedPageBreak/>
              <w:t>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анализировать, обобщать </w:t>
            </w:r>
            <w:r w:rsidRPr="00983F6F">
              <w:rPr>
                <w:rFonts w:ascii="Times New Roman" w:eastAsia="Times New Roman" w:hAnsi="Times New Roman" w:cs="Times New Roman"/>
                <w:sz w:val="28"/>
                <w:szCs w:val="28"/>
                <w:lang w:eastAsia="ru-RU"/>
              </w:rPr>
              <w:lastRenderedPageBreak/>
              <w:t>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45" w:rsidRDefault="00B81745" w:rsidP="00CB58F6">
      <w:pPr>
        <w:spacing w:after="0" w:line="240" w:lineRule="auto"/>
      </w:pPr>
      <w:r>
        <w:separator/>
      </w:r>
    </w:p>
  </w:endnote>
  <w:endnote w:type="continuationSeparator" w:id="0">
    <w:p w:rsidR="00B81745" w:rsidRDefault="00B81745"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68248"/>
      <w:docPartObj>
        <w:docPartGallery w:val="Page Numbers (Bottom of Page)"/>
        <w:docPartUnique/>
      </w:docPartObj>
    </w:sdtPr>
    <w:sdtEndPr/>
    <w:sdtContent>
      <w:p w:rsidR="00560485" w:rsidRDefault="00560485">
        <w:pPr>
          <w:pStyle w:val="af0"/>
          <w:jc w:val="center"/>
        </w:pPr>
        <w:r>
          <w:fldChar w:fldCharType="begin"/>
        </w:r>
        <w:r>
          <w:instrText>PAGE   \* MERGEFORMAT</w:instrText>
        </w:r>
        <w:r>
          <w:fldChar w:fldCharType="separate"/>
        </w:r>
        <w:r w:rsidR="00FC18E6">
          <w:rPr>
            <w:noProof/>
          </w:rPr>
          <w:t>1</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45" w:rsidRDefault="00B81745" w:rsidP="00CB58F6">
      <w:pPr>
        <w:spacing w:after="0" w:line="240" w:lineRule="auto"/>
      </w:pPr>
      <w:r>
        <w:separator/>
      </w:r>
    </w:p>
  </w:footnote>
  <w:footnote w:type="continuationSeparator" w:id="0">
    <w:p w:rsidR="00B81745" w:rsidRDefault="00B81745"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7586"/>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043"/>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E5414"/>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1745"/>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856C9"/>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0ED"/>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2236"/>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18E6"/>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F43DB-8FE0-497B-8310-503BB74B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26104638">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CC8C-3112-42E9-8F69-528854AB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4294950596</TotalTime>
  <Pages>1</Pages>
  <Words>16168</Words>
  <Characters>92163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Юлия Шумских</cp:lastModifiedBy>
  <cp:revision>261</cp:revision>
  <cp:lastPrinted>2019-02-26T11:22:00Z</cp:lastPrinted>
  <dcterms:created xsi:type="dcterms:W3CDTF">2019-02-28T09:31:00Z</dcterms:created>
  <dcterms:modified xsi:type="dcterms:W3CDTF">2020-09-01T15:49:00Z</dcterms:modified>
</cp:coreProperties>
</file>