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CF795C">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CF795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CF795C">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CF795C" w:rsidRPr="00CF795C">
        <w:rPr>
          <w:rFonts w:ascii="Times New Roman" w:eastAsia="Calibri" w:hAnsi="Times New Roman" w:cs="Times New Roman"/>
          <w:sz w:val="24"/>
          <w:szCs w:val="24"/>
          <w:u w:val="single"/>
        </w:rPr>
        <w:t xml:space="preserve">7 от 15.02.2018 </w:t>
      </w:r>
      <w:bookmarkStart w:id="0" w:name="_GoBack"/>
      <w:bookmarkEnd w:id="0"/>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5107"/>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способностью осуществлять реализацию норм </w:t>
            </w:r>
            <w:r w:rsidRPr="007106C2">
              <w:rPr>
                <w:rFonts w:ascii="Times New Roman" w:eastAsia="Times New Roman" w:hAnsi="Times New Roman" w:cs="Times New Roman"/>
                <w:sz w:val="24"/>
                <w:szCs w:val="24"/>
                <w:lang w:eastAsia="ru-RU"/>
              </w:rPr>
              <w:lastRenderedPageBreak/>
              <w:t xml:space="preserve">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153DD3"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E79DA">
              <w:rPr>
                <w:rFonts w:ascii="Times New Roman" w:eastAsia="Times New Roman" w:hAnsi="Times New Roman" w:cs="Times New Roman"/>
                <w:sz w:val="24"/>
                <w:szCs w:val="24"/>
                <w:lang w:eastAsia="ru-RU"/>
              </w:rPr>
              <w:t>еловая игра</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93559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BD659F"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5594" w:rsidRDefault="00935594" w:rsidP="008F3452">
      <w:pPr>
        <w:spacing w:after="0" w:line="240" w:lineRule="auto"/>
        <w:ind w:firstLine="709"/>
        <w:jc w:val="both"/>
        <w:rPr>
          <w:rFonts w:ascii="Times New Roman" w:eastAsia="Times New Roman" w:hAnsi="Times New Roman" w:cs="Times New Roman"/>
          <w:sz w:val="24"/>
          <w:szCs w:val="24"/>
        </w:rPr>
      </w:pP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AD4B7A">
        <w:rPr>
          <w:rFonts w:ascii="Times New Roman" w:eastAsia="Times New Roman" w:hAnsi="Times New Roman" w:cs="Times New Roman"/>
          <w:b/>
          <w:bCs/>
          <w:kern w:val="36"/>
          <w:sz w:val="24"/>
          <w:szCs w:val="24"/>
          <w:lang w:eastAsia="ru-RU"/>
        </w:rPr>
        <w:t xml:space="preserve">Раздел 1 </w:t>
      </w:r>
      <w:r w:rsidRPr="00AD4B7A">
        <w:rPr>
          <w:rFonts w:ascii="Times New Roman" w:eastAsia="Times New Roman" w:hAnsi="Times New Roman" w:cs="Times New Roman"/>
          <w:b/>
          <w:sz w:val="24"/>
          <w:szCs w:val="24"/>
          <w:lang w:eastAsia="ru-RU"/>
        </w:rPr>
        <w:t>Общие положения о предпринимательском праве</w:t>
      </w:r>
    </w:p>
    <w:p w:rsidR="00AD4B7A" w:rsidRDefault="00AD4B7A" w:rsidP="00AD4B7A">
      <w:pPr>
        <w:spacing w:after="0" w:line="240" w:lineRule="auto"/>
        <w:ind w:firstLine="680"/>
        <w:jc w:val="both"/>
        <w:rPr>
          <w:rFonts w:ascii="Times New Roman" w:eastAsia="Times New Roman" w:hAnsi="Times New Roman" w:cs="Times New Roman"/>
          <w:sz w:val="24"/>
          <w:szCs w:val="24"/>
        </w:rPr>
      </w:pP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Регистрационные палаты субъектов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юстиции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финансов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публичного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отрасли как публичного, так 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 </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самостоятельная деятельность</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осуществляемая на свой риск</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направленная на систематическое получение прибыли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требует государственной регистрации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имеет права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имеет право</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по решению органов исполнительной власти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Гражданским кодексом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указами Президента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законами субъектов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 но лишь некоммерческие организации</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 разрешения государственного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1 год</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3 года</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5 лет</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7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Лицензирующие органы не имеют права…</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виды деятельности, подлежащие лицензированию</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по решению вышестоящего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нет, не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случаях, установленных законом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предусмотренных законом</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w:t>
      </w:r>
      <w:r w:rsidRPr="00AD4B7A">
        <w:rPr>
          <w:rFonts w:ascii="Times New Roman" w:eastAsia="Times New Roman" w:hAnsi="Times New Roman" w:cs="Times New Roman"/>
          <w:bCs/>
          <w:sz w:val="24"/>
          <w:szCs w:val="24"/>
          <w:lang w:eastAsia="ru-RU"/>
        </w:rPr>
        <w:t>1.Физическое лицо – это:</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физически сильный человек;</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12.Российское предпринимательское право- это:</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один из элементов российской правовой системы;</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13. Источником предпринимательского права является:</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 РФ;</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обычай делового оборота;</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судебный прецедент.</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15 Указать признаки предпринимательства.</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легализованность;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самостоятельность;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рискованность;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стилизованность;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прибыльность.</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государственной регистрации;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предпринимательской сделки;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трудового договора с работником.</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предпринимательство в сфере услуг;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производственное предпринимательство;</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оба варианта верны;</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правильного ответа.</w:t>
      </w:r>
    </w:p>
    <w:p w:rsidR="00AD4B7A" w:rsidRPr="00AD4B7A" w:rsidRDefault="00AD4B7A" w:rsidP="00AD4B7A">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ab/>
      </w:r>
      <w:r w:rsidRPr="00AD4B7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императивных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государственная регистрация.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обособленного имущества.</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лицензии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хозяйственной компетенции.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уплата налогов.</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обычаи делового оборота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международные договоры</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общепризнанные принципы международного права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нормы иностранного права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 23.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подзаконные нормативные правовые акты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Кодексы</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Постановления Правительства</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Федеральные законы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по решению суда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допускается только к области финансового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только к области административного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допускается</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международного договора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вопрос не урегулирован законодательством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обычай делового оборота не применяется</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решению суда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Федеральный закон вступает в силу…</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Государственной Думой ФС РФ</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Указ Президента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вопрос законодательством не урегулирован</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солидарную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долевую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субсидиарную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завершения всех расчетов с кредиторами</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составления ликвидационного баланса</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устав</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устав и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решение собрания акционеров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необходимых документов,</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юридическое лицо считается созданным?</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принятия решения учредителями</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казенное предприятие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общество с ограниченной ответственностью</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закрытое акционерное общество</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полные товарищи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участники товарищества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по налогам и сборам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финансов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экономики РФ</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и выделении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при разделении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выделении и преобразовании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слиянии, присоединении и преобразовании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слияние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присоединение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преобразование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разделение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lastRenderedPageBreak/>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суд</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казенные предприятия, производственные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фонды, потребительские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товарищества на вере</w:t>
      </w:r>
    </w:p>
    <w:p w:rsidR="00AD4B7A" w:rsidRPr="00AD4B7A" w:rsidRDefault="00AD4B7A" w:rsidP="00AD4B7A">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lang w:eastAsia="ru-RU"/>
        </w:rPr>
        <w:t> 4</w:t>
      </w:r>
      <w:r w:rsidRPr="00AD4B7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AD4B7A" w:rsidRPr="00AD4B7A" w:rsidRDefault="00AD4B7A" w:rsidP="00AD4B7A">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AD4B7A" w:rsidRPr="00AD4B7A" w:rsidRDefault="00AD4B7A" w:rsidP="00AD4B7A">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46. Лицензия – это</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lastRenderedPageBreak/>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ликвидационным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разделительным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передаточным актом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51. Полное товарищество - это:</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52. Акционерное общество - это:</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54. Фонд – это</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w:t>
      </w:r>
      <w:r w:rsidRPr="00AD4B7A">
        <w:rPr>
          <w:rFonts w:ascii="Times New Roman" w:eastAsia="Times New Roman" w:hAnsi="Times New Roman" w:cs="Times New Roman"/>
          <w:sz w:val="24"/>
          <w:szCs w:val="24"/>
          <w:shd w:val="clear" w:color="auto" w:fill="FFFFFF"/>
          <w:lang w:eastAsia="ru-RU"/>
        </w:rPr>
        <w:lastRenderedPageBreak/>
        <w:t>им полностью или частично</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учредительный договор</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 и учредительный договор</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5000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 МРОТ</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61. Унитарное предприятие:</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не отвечают по его обязательствам и несут риск убытков, связанных с его </w:t>
      </w:r>
      <w:r w:rsidRPr="00AD4B7A">
        <w:rPr>
          <w:rFonts w:ascii="Times New Roman" w:eastAsia="Times New Roman" w:hAnsi="Times New Roman" w:cs="Times New Roman"/>
          <w:sz w:val="24"/>
          <w:szCs w:val="24"/>
          <w:shd w:val="clear" w:color="auto" w:fill="FFFFFF"/>
          <w:lang w:eastAsia="ru-RU"/>
        </w:rPr>
        <w:lastRenderedPageBreak/>
        <w:t>деятельностью в пределах стоимости принадлежащих им акций;</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62. Товарная биржа – это</w:t>
      </w:r>
    </w:p>
    <w:p w:rsidR="00AD4B7A" w:rsidRPr="00AD4B7A" w:rsidRDefault="00AD4B7A" w:rsidP="00E21038">
      <w:pPr>
        <w:widowControl w:val="0"/>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это зависит от объема исполнения</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 если лицо не знало об истечении давности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12:00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24:00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конце установленного в данной организации рабочего дня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только другого лица, но и в отношении себя лично</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законным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коммерческим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душеприказчиком</w:t>
      </w:r>
    </w:p>
    <w:p w:rsidR="00AD4B7A" w:rsidRPr="00AD4B7A" w:rsidRDefault="00AD4B7A" w:rsidP="00AD4B7A">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лично</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через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через законных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как лично, так и через представителей</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комиссии</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завещательного отказа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займа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поручения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максимальный срок действия доверенности?</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года</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 год</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завещательное возложение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доверенность</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доверительного 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возможна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сотрудник</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обязанность возместить убытки</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компенсировать моральный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возместить реальный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принести извинения в письменной форме</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 </w:t>
      </w:r>
      <w:r w:rsidRPr="00AD4B7A">
        <w:rPr>
          <w:rFonts w:ascii="Times New Roman" w:eastAsia="Times New Roman" w:hAnsi="Times New Roman" w:cs="Times New Roman"/>
          <w:bCs/>
          <w:sz w:val="24"/>
          <w:szCs w:val="24"/>
          <w:lang w:eastAsia="ru-RU"/>
        </w:rPr>
        <w:t>76.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во всех случаях</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верный ответ не указан</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bCs/>
          <w:sz w:val="24"/>
          <w:szCs w:val="24"/>
          <w:shd w:val="clear" w:color="auto" w:fill="FFFFFF"/>
          <w:lang w:eastAsia="ru-RU"/>
        </w:rPr>
        <w:t xml:space="preserve">Раздел 2 </w:t>
      </w:r>
      <w:r w:rsidRPr="00AD4B7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AD4B7A" w:rsidRPr="00AD4B7A" w:rsidRDefault="00AD4B7A" w:rsidP="00AD4B7A">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Под инвестицией понимают:</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предоставляется заем, кредит.</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3. Субсидия – это </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 Налог - это:</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w:t>
      </w:r>
      <w:r w:rsidRPr="00AD4B7A">
        <w:rPr>
          <w:rFonts w:ascii="Times New Roman" w:eastAsia="Times New Roman" w:hAnsi="Times New Roman" w:cs="Times New Roman"/>
          <w:sz w:val="24"/>
          <w:szCs w:val="24"/>
          <w:shd w:val="clear" w:color="auto" w:fill="FFFFFF"/>
          <w:lang w:eastAsia="ru-RU"/>
        </w:rPr>
        <w:lastRenderedPageBreak/>
        <w:t>в целях финансового обеспечения деятельности государства и (или) муниципальных образований.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 Реальный налог – это</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7. Скидки – это:</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подоходный налог</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на добавленную стоимость</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11. Личное страхование включает:</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жизни</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транспортных средств </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грузов</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медицинское страхование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 силу закона</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воле сторон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пенсии по старости, по инвалидности</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lastRenderedPageBreak/>
        <w:t>14. Прямое государственное регулирование предпринимательской деятельности осуществляется:</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 Опционная сделка – это сделка</w:t>
      </w:r>
      <w:r w:rsidRPr="00AD4B7A">
        <w:rPr>
          <w:rFonts w:ascii="Times New Roman" w:eastAsia="Times New Roman" w:hAnsi="Times New Roman" w:cs="Times New Roman"/>
          <w:sz w:val="24"/>
          <w:szCs w:val="24"/>
          <w:lang w:eastAsia="ru-RU"/>
        </w:rPr>
        <w:t xml:space="preserve"> </w:t>
      </w:r>
      <w:r w:rsidRPr="00AD4B7A">
        <w:rPr>
          <w:rFonts w:ascii="Times New Roman" w:eastAsia="Times New Roman" w:hAnsi="Times New Roman" w:cs="Times New Roman"/>
          <w:sz w:val="24"/>
          <w:szCs w:val="24"/>
          <w:shd w:val="clear" w:color="auto" w:fill="FFFFFF"/>
          <w:lang w:eastAsia="ru-RU"/>
        </w:rPr>
        <w:t>связанная с уступкой прав на будущую передачу прав и обязанностей в отношении</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 Расчет по инкассо - это:</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Чек - это:</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4. Кредитование – это</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Срок годности – это</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6. Последствия продажи товара ненадлежащего качества:</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пятую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функции осуществляет филиал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является самостоятельным юридическим лицом</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w:t>
      </w:r>
      <w:r w:rsidRPr="00AD4B7A">
        <w:rPr>
          <w:rFonts w:ascii="Times New Roman" w:eastAsia="Times New Roman" w:hAnsi="Times New Roman" w:cs="Times New Roman"/>
          <w:bCs/>
          <w:sz w:val="24"/>
          <w:szCs w:val="24"/>
          <w:lang w:eastAsia="ru-RU"/>
        </w:rPr>
        <w:t> </w:t>
      </w:r>
      <w:r w:rsidRPr="00AD4B7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имеются признаки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конкурсное производство</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финансовое оздоровление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внешнее управление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мировое соглашение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пять</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четыре</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три</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семь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в общем порядке требований кредиторов</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усмотрение ликвидационной комиссии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месяца</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трех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шести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 до полного расчета с кредиторами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17. Срок заявления требований кредиторов с момента публикации сведений о ликвидации юридического лица не может быть</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более двух месяцев</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менее двух месяцев </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более 6 месяцев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18. Юридическое лицо считается несостоятельным, если:</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19. Преднамеренное банкротство – это</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Финансовое оздоровление - это:</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21. Конкурсное производство - это:</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22. Сроки проведения процедуры внешнего управления:</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7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не более 1 года; </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чем 2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23. К коммерческим организациям относятся: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казенные предприятия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общественные и религиозные объединения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производственные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24. К некоммерческим организациям относятся: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хозяйственные товарищества и общества</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благотворительные и иные фонды</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унитарные предприятия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потребительские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25</w:t>
      </w:r>
      <w:r w:rsidRPr="00AD4B7A">
        <w:rPr>
          <w:rFonts w:ascii="Times New Roman" w:eastAsia="Times New Roman" w:hAnsi="Times New Roman" w:cs="Times New Roman"/>
          <w:bCs/>
          <w:sz w:val="24"/>
          <w:szCs w:val="24"/>
          <w:lang w:eastAsia="ru-RU"/>
        </w:rPr>
        <w:t>.</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как при доверительной собственности</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на определенный период</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имущество, находящееся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хозяйственного ведения и оперативного управления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сервитуты</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вышеперечисленное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постройки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возведения фундамента</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государственной регистрации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подписания договора инвестирования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решать вопросы создания предприятия</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цели деятельности и назначать директора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вышеперечисленные права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полном объеме, самостоятельно распоряжается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директора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распоряжается с согласия собственника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совета директоров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топологий интегральных микросхем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работнику,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работодателю,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всех случаях работнику</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всегда работнику и работодателю совместно</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любое юридическое лицо</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субъект гражданских правоотношений</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чье имя может быть зарегистрирован товарный знак?</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на имя любого коммерческой организации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имена и фамилии</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исторические названия населенных пунктов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срок действия свидетельства на товарный знак?</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 лет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 </w:t>
      </w: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каждый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один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два раза по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товарные знаки</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наименования мест происхождения товаров</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фирменные наименования</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информацию «ноу-хау»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момента регистрации</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 с даты получения свидетельства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даты получения свидетельства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регистрации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всего срока существования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20 лет с момента подачи заявки на регистрацию</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подачи заявки на регистрацию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названий государств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программы для ЭВМ, изобретения</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и промышленные образцы</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произведения науки, литературы и искусства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наличии согласия работника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 46.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может</w:t>
      </w:r>
    </w:p>
    <w:p w:rsidR="00AD4B7A" w:rsidRPr="00AD4B7A" w:rsidRDefault="00AD4B7A" w:rsidP="00E21038">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устанавливает ни прав, ни обязанностей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Сторонами обязательства могут быть…</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физические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 физические и юридические лица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случаев, предусмотренных законом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основная сумма – проценты – издержки кредитора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проценты – издержки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проценты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основная сумма – проценты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обязательство не исполнено, то…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возместить убытки</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обязательство в любом случае должно быть исполнено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уплатить неустойку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штрафной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зачетной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альтернативной неустойки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независимо от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гарант</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бенефициар</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принципал</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цессионарий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Основанием возникновения удержания является…</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только в отношении  движимого имущества</w:t>
      </w:r>
    </w:p>
    <w:p w:rsidR="00AD4B7A" w:rsidRPr="00AD4B7A" w:rsidRDefault="00AD4B7A" w:rsidP="00E21038">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требования, вытекающие из денежных обязательств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Делькредере – это…</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двухстороння сделка между поручителем и кредитором</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договор между третьим лицом и должником, в котором определяются права </w:t>
      </w:r>
      <w:r w:rsidRPr="00AD4B7A">
        <w:rPr>
          <w:rFonts w:ascii="Times New Roman" w:eastAsia="Times New Roman" w:hAnsi="Times New Roman" w:cs="Times New Roman"/>
          <w:sz w:val="24"/>
          <w:szCs w:val="24"/>
          <w:lang w:eastAsia="ru-RU"/>
        </w:rPr>
        <w:lastRenderedPageBreak/>
        <w:t>третьего лица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совпадение должника и кредитора в одном лице</w:t>
      </w:r>
    </w:p>
    <w:p w:rsidR="00AD4B7A" w:rsidRPr="00AD4B7A" w:rsidRDefault="00AD4B7A" w:rsidP="00AD4B7A">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взаимном согласии сторон</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заключении договора более 1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лет</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бессрочный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Укажите  стороны кредитного договора?</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кредитодатель и кредитополучатель</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кредитополучатель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59.  Укажите форму кредитного договора?</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 с последующей регистрацией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по соглашению сторон</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в отношении государственной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розничной купли-продажи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купли-продажи недвижимости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поставки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аренды транспортного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договор доверительного управления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хранения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финансовой аренды (лизинга)</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проката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земельные участки и иные природные объекты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здания и сооружения</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объекты недвижимого имущества</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автотранспортные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комитент</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продавец</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 если иное не установлено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AD4B7A">
        <w:rPr>
          <w:rFonts w:ascii="Times New Roman" w:eastAsia="Times New Roman" w:hAnsi="Times New Roman" w:cs="Times New Roman"/>
          <w:sz w:val="24"/>
          <w:szCs w:val="24"/>
          <w:lang w:eastAsia="ru-RU"/>
        </w:rPr>
        <w:t>?</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AD4B7A" w:rsidRPr="00AD4B7A" w:rsidRDefault="00AD4B7A" w:rsidP="00AD4B7A">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договоров является публичным?</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розничной купли-продажи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контрактации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продажи предприятия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передачи товара покупателю</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выбора товара покупателем</w:t>
      </w:r>
    </w:p>
    <w:p w:rsidR="00AD4B7A" w:rsidRPr="00AD4B7A" w:rsidRDefault="00AD4B7A" w:rsidP="00AD4B7A">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AD4B7A">
        <w:rPr>
          <w:rFonts w:ascii="Times New Roman" w:eastAsia="Times New Roman" w:hAnsi="Times New Roman" w:cs="Times New Roman"/>
          <w:bCs/>
          <w:color w:val="000000"/>
          <w:sz w:val="24"/>
          <w:szCs w:val="24"/>
          <w:lang w:eastAsia="ru-RU"/>
        </w:rPr>
        <w:t>, </w:t>
      </w: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3. Под способами защиты прав следует понимать:</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4. Субъективное право на защиту – это: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5. Медиативное соглашение – это:</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сторонах;</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предмет спора;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проведение изъятия имущества должника;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медиаторе;</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сроки выполнения обязательств.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7. Финансовый омбудсмен – это:</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состязательности и равноправия сторон;</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независимости сторон от исковых требований;</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предвзятости суда к виновной стороне в споре;</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преимущественности требований органов власти;</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указания главы муниципального образования;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10. Самозащита гражданских прав – это:</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935594" w:rsidRDefault="00935594" w:rsidP="00AD4B7A">
      <w:pPr>
        <w:spacing w:after="0" w:line="240" w:lineRule="auto"/>
        <w:ind w:firstLine="680"/>
        <w:jc w:val="both"/>
        <w:rPr>
          <w:rFonts w:ascii="Times New Roman" w:eastAsia="Times New Roman" w:hAnsi="Times New Roman" w:cs="Times New Roman"/>
          <w:sz w:val="24"/>
          <w:szCs w:val="24"/>
        </w:rPr>
      </w:pPr>
    </w:p>
    <w:p w:rsidR="00935594" w:rsidRPr="00D3181F" w:rsidRDefault="00935594" w:rsidP="00AD4B7A">
      <w:pPr>
        <w:spacing w:after="0" w:line="240" w:lineRule="auto"/>
        <w:ind w:firstLine="680"/>
        <w:jc w:val="both"/>
        <w:rPr>
          <w:rFonts w:ascii="Times New Roman" w:eastAsia="Times New Roman" w:hAnsi="Times New Roman" w:cs="Times New Roman"/>
          <w:sz w:val="24"/>
          <w:szCs w:val="24"/>
        </w:rPr>
      </w:pPr>
    </w:p>
    <w:p w:rsidR="00DB7BDC" w:rsidRPr="00D3181F" w:rsidRDefault="00DB7BDC" w:rsidP="00AD4B7A">
      <w:pPr>
        <w:spacing w:after="0" w:line="240" w:lineRule="auto"/>
        <w:ind w:firstLine="680"/>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AD4B7A">
      <w:pPr>
        <w:spacing w:after="0" w:line="240" w:lineRule="auto"/>
        <w:ind w:firstLine="680"/>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Default="00AD4B7A"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1.</w:t>
      </w:r>
      <w:r w:rsidRPr="00AD4B7A">
        <w:rPr>
          <w:rFonts w:ascii="Times New Roman" w:eastAsia="Times New Roman" w:hAnsi="Times New Roman" w:cs="Times New Roman"/>
          <w:sz w:val="24"/>
          <w:szCs w:val="24"/>
        </w:rPr>
        <w:tab/>
        <w:t>Раскрыть теоретический вопрос: «Порядок государственной регистрации юридических лиц при их создании»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2.</w:t>
      </w:r>
      <w:r w:rsidRPr="00AD4B7A">
        <w:rPr>
          <w:rFonts w:ascii="Times New Roman" w:eastAsia="Times New Roman" w:hAnsi="Times New Roman" w:cs="Times New Roman"/>
          <w:sz w:val="24"/>
          <w:szCs w:val="24"/>
        </w:rPr>
        <w:tab/>
        <w:t>Составить схему: «Понятие и виды субъектов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3.</w:t>
      </w:r>
      <w:r w:rsidRPr="00AD4B7A">
        <w:rPr>
          <w:rFonts w:ascii="Times New Roman" w:eastAsia="Times New Roman" w:hAnsi="Times New Roman" w:cs="Times New Roman"/>
          <w:sz w:val="24"/>
          <w:szCs w:val="24"/>
        </w:rPr>
        <w:tab/>
        <w:t>Решить задачу</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4. Выполнить тестовые задания</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 Предпринимательское право рассматривается как: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отрасль   права,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отрасль права,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межотраслевое образование и учебная дисциплина.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4.2 Конституция Российской Федерации закрепляет: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А)  гарантии предпринимательства;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гарантии предпринимательства и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основные требования к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4.3 Предприниматели (физические и юридические лица)  могут совмещать различные виды деятельности: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случаях,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во всех случаях, за исключением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во   всех   случаях,   за   исключением   установленных   законом   или   учредительными документами;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если такая возможность установлена законодательством о государственном регулировании соответствующего вида деятельности (на-пример, аудиторской, оценочной, торговой).</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4.4 Плановые проверки юридических лиц и индивидуальных предпринимателей, по общему правилу, проводятся: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чаще  чем 1 раз в год;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не чаще чем 1 раз в 2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чаще чем 1 раз в 3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не чаще чем 1 раз в 5 лет.</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4.5 Саморегулируемая   организация: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вправе осуществлять предпринимательскую деятельность, за исключением   деятельности,   связанной   с   предпринимательской   деятельностью и профессиональными интересами членов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вправе осуществлять предпринимательскую деятельность постольку,  поскольку это служит достижению целей, ради которых она создана;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вправе осуществлять предпринимательскую деятельность;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Г)    вправе   осуществлять   предпринимательскую   деятельность,   полученная    прибыль    должна    направляться    исключительно    на    цели,    предусмотренные   ФЗ   «О   саморегулируемых   организациях»   и   уставом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4.6 Коммерческие организации создаются для: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получения   прибыли;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получения   прибыли   и   последующего   ее   распределения   между   участниками (учредителями);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достижения социальных и управленческих целей;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достижения любых целей, за исключением противоправных.</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4.7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4.8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4.9 Государственные и муниципальные учреждения создаются: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уведомительном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 разрешительном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 распорядительном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в специальном порядке.</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4.10 Амортизируемым имуществом признается имущество: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вне   зависимости   от   срока   полезного   использования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со сроком полезного использования более 6 месяцев и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со сроком полезного использования более 12 месяцев и первоначальной стоимостью более 40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со сроком полезного использования более 24 месяцев и первоначальной стоимостью более 50 тысяч рублей.</w:t>
      </w:r>
    </w:p>
    <w:p w:rsidR="00AD4B7A" w:rsidRDefault="00AD4B7A" w:rsidP="006276C9">
      <w:pPr>
        <w:spacing w:after="0" w:line="240" w:lineRule="auto"/>
        <w:ind w:firstLine="709"/>
        <w:jc w:val="both"/>
        <w:rPr>
          <w:rFonts w:ascii="Times New Roman" w:eastAsia="Times New Roman" w:hAnsi="Times New Roman" w:cs="Times New Roman"/>
          <w:b/>
          <w:sz w:val="24"/>
          <w:szCs w:val="24"/>
        </w:rPr>
      </w:pPr>
    </w:p>
    <w:p w:rsidR="00AD4B7A" w:rsidRPr="00D3181F" w:rsidRDefault="00AD4B7A"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(схемы), а также 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раскрыт теоретический вопрос;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решена задача.</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83" w:rsidRDefault="00544383" w:rsidP="00A13401">
      <w:pPr>
        <w:spacing w:after="0" w:line="240" w:lineRule="auto"/>
      </w:pPr>
      <w:r>
        <w:separator/>
      </w:r>
    </w:p>
  </w:endnote>
  <w:endnote w:type="continuationSeparator" w:id="0">
    <w:p w:rsidR="00544383" w:rsidRDefault="0054438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83" w:rsidRDefault="00544383" w:rsidP="00A13401">
      <w:pPr>
        <w:spacing w:after="0" w:line="240" w:lineRule="auto"/>
      </w:pPr>
      <w:r>
        <w:separator/>
      </w:r>
    </w:p>
  </w:footnote>
  <w:footnote w:type="continuationSeparator" w:id="0">
    <w:p w:rsidR="00544383" w:rsidRDefault="0054438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64E77"/>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5170"/>
    <w:rsid w:val="004F7B8D"/>
    <w:rsid w:val="005403D7"/>
    <w:rsid w:val="00544383"/>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D5C72"/>
    <w:rsid w:val="008E56BF"/>
    <w:rsid w:val="008E7371"/>
    <w:rsid w:val="008E750D"/>
    <w:rsid w:val="008F3452"/>
    <w:rsid w:val="00902FCE"/>
    <w:rsid w:val="00905312"/>
    <w:rsid w:val="00935594"/>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A1760"/>
    <w:rsid w:val="00AD4B7A"/>
    <w:rsid w:val="00AD6B91"/>
    <w:rsid w:val="00B02AC3"/>
    <w:rsid w:val="00B33AA4"/>
    <w:rsid w:val="00B46635"/>
    <w:rsid w:val="00B579F1"/>
    <w:rsid w:val="00B60E99"/>
    <w:rsid w:val="00B60FF8"/>
    <w:rsid w:val="00B61AF9"/>
    <w:rsid w:val="00B66D18"/>
    <w:rsid w:val="00BA02ED"/>
    <w:rsid w:val="00BD659F"/>
    <w:rsid w:val="00BE443D"/>
    <w:rsid w:val="00C215AE"/>
    <w:rsid w:val="00C343E1"/>
    <w:rsid w:val="00C37027"/>
    <w:rsid w:val="00C62DE4"/>
    <w:rsid w:val="00C62F0F"/>
    <w:rsid w:val="00C831AA"/>
    <w:rsid w:val="00C848F7"/>
    <w:rsid w:val="00CA12D4"/>
    <w:rsid w:val="00CB38AF"/>
    <w:rsid w:val="00CD6EC5"/>
    <w:rsid w:val="00CF6A8F"/>
    <w:rsid w:val="00CF71CE"/>
    <w:rsid w:val="00CF795C"/>
    <w:rsid w:val="00D00F00"/>
    <w:rsid w:val="00D070AD"/>
    <w:rsid w:val="00D202AB"/>
    <w:rsid w:val="00D3181F"/>
    <w:rsid w:val="00D417A8"/>
    <w:rsid w:val="00D8393A"/>
    <w:rsid w:val="00DB304F"/>
    <w:rsid w:val="00DB4F07"/>
    <w:rsid w:val="00DB6D92"/>
    <w:rsid w:val="00DB71EA"/>
    <w:rsid w:val="00DB7BDC"/>
    <w:rsid w:val="00DC3CB4"/>
    <w:rsid w:val="00DF051F"/>
    <w:rsid w:val="00DF701B"/>
    <w:rsid w:val="00E00593"/>
    <w:rsid w:val="00E01D9D"/>
    <w:rsid w:val="00E20936"/>
    <w:rsid w:val="00E21038"/>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E746B"/>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2BF9-F96E-4A34-BB4D-E4700C3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AD4B7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AD4B7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AD4B7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D4B7A"/>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AD4B7A"/>
    <w:rPr>
      <w:rFonts w:ascii="Cambria" w:eastAsia="Times New Roman" w:hAnsi="Cambria" w:cs="Times New Roman"/>
      <w:color w:val="243F60"/>
    </w:rPr>
  </w:style>
  <w:style w:type="character" w:customStyle="1" w:styleId="60">
    <w:name w:val="Заголовок 6 Знак"/>
    <w:basedOn w:val="a0"/>
    <w:link w:val="6"/>
    <w:uiPriority w:val="9"/>
    <w:semiHidden/>
    <w:rsid w:val="00AD4B7A"/>
    <w:rPr>
      <w:rFonts w:ascii="Cambria" w:eastAsia="Times New Roman" w:hAnsi="Cambria" w:cs="Times New Roman"/>
      <w:i/>
      <w:iCs/>
      <w:color w:val="243F60"/>
    </w:rPr>
  </w:style>
  <w:style w:type="numbering" w:customStyle="1" w:styleId="24">
    <w:name w:val="Нет списка2"/>
    <w:next w:val="a2"/>
    <w:uiPriority w:val="99"/>
    <w:semiHidden/>
    <w:unhideWhenUsed/>
    <w:rsid w:val="00AD4B7A"/>
  </w:style>
  <w:style w:type="table" w:customStyle="1" w:styleId="14">
    <w:name w:val="Сетка таблицы14"/>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AD4B7A"/>
  </w:style>
  <w:style w:type="table" w:customStyle="1" w:styleId="15">
    <w:name w:val="Сетка таблицы15"/>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AD4B7A"/>
    <w:pPr>
      <w:spacing w:after="120" w:line="480" w:lineRule="auto"/>
    </w:pPr>
  </w:style>
  <w:style w:type="character" w:customStyle="1" w:styleId="26">
    <w:name w:val="Основной текст 2 Знак"/>
    <w:basedOn w:val="a0"/>
    <w:link w:val="25"/>
    <w:uiPriority w:val="99"/>
    <w:semiHidden/>
    <w:rsid w:val="00AD4B7A"/>
  </w:style>
  <w:style w:type="paragraph" w:customStyle="1" w:styleId="411">
    <w:name w:val="Заголовок 41"/>
    <w:basedOn w:val="a"/>
    <w:next w:val="a"/>
    <w:uiPriority w:val="9"/>
    <w:unhideWhenUsed/>
    <w:qFormat/>
    <w:rsid w:val="00AD4B7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1">
    <w:name w:val="Заголовок 51"/>
    <w:basedOn w:val="a"/>
    <w:next w:val="a"/>
    <w:uiPriority w:val="9"/>
    <w:semiHidden/>
    <w:unhideWhenUsed/>
    <w:qFormat/>
    <w:rsid w:val="00AD4B7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1">
    <w:name w:val="Заголовок 61"/>
    <w:basedOn w:val="a"/>
    <w:next w:val="a"/>
    <w:uiPriority w:val="9"/>
    <w:semiHidden/>
    <w:unhideWhenUsed/>
    <w:qFormat/>
    <w:rsid w:val="00AD4B7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11">
    <w:name w:val="Нет списка21"/>
    <w:next w:val="a2"/>
    <w:uiPriority w:val="99"/>
    <w:semiHidden/>
    <w:unhideWhenUsed/>
    <w:rsid w:val="00AD4B7A"/>
  </w:style>
  <w:style w:type="character" w:customStyle="1" w:styleId="apple-converted-space">
    <w:name w:val="apple-converted-space"/>
    <w:basedOn w:val="a0"/>
    <w:rsid w:val="00AD4B7A"/>
  </w:style>
  <w:style w:type="paragraph" w:styleId="30">
    <w:name w:val="Body Text 3"/>
    <w:basedOn w:val="a"/>
    <w:link w:val="32"/>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0"/>
    <w:uiPriority w:val="99"/>
    <w:semiHidden/>
    <w:rsid w:val="00AD4B7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AD4B7A"/>
  </w:style>
  <w:style w:type="character" w:customStyle="1" w:styleId="submenu-table">
    <w:name w:val="submenu-table"/>
    <w:basedOn w:val="a0"/>
    <w:rsid w:val="00AD4B7A"/>
  </w:style>
  <w:style w:type="paragraph" w:styleId="afc">
    <w:name w:val="Plain Text"/>
    <w:basedOn w:val="a"/>
    <w:link w:val="afd"/>
    <w:rsid w:val="00AD4B7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AD4B7A"/>
    <w:rPr>
      <w:rFonts w:ascii="Courier New" w:eastAsia="Times New Roman" w:hAnsi="Courier New" w:cs="Times New Roman"/>
      <w:sz w:val="20"/>
      <w:szCs w:val="20"/>
      <w:lang w:eastAsia="ru-RU"/>
    </w:rPr>
  </w:style>
  <w:style w:type="paragraph" w:customStyle="1" w:styleId="ReportHead">
    <w:name w:val="Report_Head"/>
    <w:basedOn w:val="a"/>
    <w:link w:val="ReportHead0"/>
    <w:rsid w:val="00AD4B7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AD4B7A"/>
    <w:rPr>
      <w:rFonts w:ascii="Times New Roman" w:eastAsia="Calibri" w:hAnsi="Times New Roman" w:cs="Times New Roman"/>
      <w:sz w:val="28"/>
    </w:rPr>
  </w:style>
  <w:style w:type="character" w:customStyle="1" w:styleId="512">
    <w:name w:val="Заголовок 5 Знак1"/>
    <w:basedOn w:val="a0"/>
    <w:uiPriority w:val="9"/>
    <w:semiHidden/>
    <w:rsid w:val="00AD4B7A"/>
    <w:rPr>
      <w:rFonts w:asciiTheme="majorHAnsi" w:eastAsiaTheme="majorEastAsia" w:hAnsiTheme="majorHAnsi" w:cstheme="majorBidi"/>
      <w:color w:val="2E74B5" w:themeColor="accent1" w:themeShade="BF"/>
    </w:rPr>
  </w:style>
  <w:style w:type="character" w:customStyle="1" w:styleId="612">
    <w:name w:val="Заголовок 6 Знак1"/>
    <w:basedOn w:val="a0"/>
    <w:uiPriority w:val="9"/>
    <w:semiHidden/>
    <w:rsid w:val="00AD4B7A"/>
    <w:rPr>
      <w:rFonts w:asciiTheme="majorHAnsi" w:eastAsiaTheme="majorEastAsia" w:hAnsiTheme="majorHAnsi" w:cstheme="majorBidi"/>
      <w:color w:val="1F4D78" w:themeColor="accent1" w:themeShade="7F"/>
    </w:rPr>
  </w:style>
  <w:style w:type="character" w:customStyle="1" w:styleId="412">
    <w:name w:val="Заголовок 4 Знак1"/>
    <w:basedOn w:val="a0"/>
    <w:uiPriority w:val="9"/>
    <w:semiHidden/>
    <w:rsid w:val="00AD4B7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AD4B7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AD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9105-5E12-47B7-BD23-9F7B8838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27</Pages>
  <Words>24365</Words>
  <Characters>138881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83</cp:revision>
  <cp:lastPrinted>2019-10-30T09:38:00Z</cp:lastPrinted>
  <dcterms:created xsi:type="dcterms:W3CDTF">2017-09-06T06:05:00Z</dcterms:created>
  <dcterms:modified xsi:type="dcterms:W3CDTF">2019-12-06T07:13:00Z</dcterms:modified>
</cp:coreProperties>
</file>