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Кафедра гражданского права и процесса</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773ED4"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B079B">
        <w:rPr>
          <w:rFonts w:ascii="Times New Roman" w:eastAsia="Calibri" w:hAnsi="Times New Roman" w:cs="Times New Roman"/>
          <w:sz w:val="24"/>
          <w:szCs w:val="24"/>
          <w:u w:val="single"/>
        </w:rPr>
        <w:t>гражданского права и процесса</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Pr="00DB079B">
        <w:rPr>
          <w:rFonts w:ascii="Times New Roman" w:eastAsia="Calibri" w:hAnsi="Times New Roman" w:cs="Times New Roman"/>
          <w:sz w:val="24"/>
          <w:szCs w:val="24"/>
          <w:u w:val="single"/>
        </w:rPr>
        <w:t xml:space="preserve">№ </w:t>
      </w:r>
      <w:r w:rsidR="005B1ACF" w:rsidRPr="00DB079B">
        <w:rPr>
          <w:rFonts w:ascii="Times New Roman" w:eastAsia="Calibri" w:hAnsi="Times New Roman" w:cs="Times New Roman"/>
          <w:sz w:val="24"/>
          <w:szCs w:val="24"/>
          <w:u w:val="single"/>
        </w:rPr>
        <w:t xml:space="preserve">9 от 13.03.2017 </w:t>
      </w:r>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9"/>
        <w:gridCol w:w="5273"/>
        <w:gridCol w:w="215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w:t>
            </w:r>
            <w:r w:rsidRPr="00DB079B">
              <w:rPr>
                <w:rFonts w:ascii="Times New Roman" w:eastAsia="Times New Roman" w:hAnsi="Times New Roman" w:cs="Times New Roman"/>
                <w:sz w:val="24"/>
                <w:szCs w:val="24"/>
                <w:lang w:eastAsia="ru-RU"/>
              </w:rPr>
              <w:lastRenderedPageBreak/>
              <w:t>субъектов страховых правоотношений при 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1F2D94" w:rsidRDefault="001F2D94" w:rsidP="00E37A58">
      <w:pPr>
        <w:spacing w:after="0" w:line="240" w:lineRule="auto"/>
        <w:ind w:firstLine="709"/>
        <w:jc w:val="both"/>
        <w:rPr>
          <w:rFonts w:ascii="Times New Roman" w:eastAsia="Times New Roman" w:hAnsi="Times New Roman" w:cs="Times New Roman"/>
          <w:sz w:val="24"/>
          <w:szCs w:val="24"/>
        </w:rPr>
      </w:pP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1 Общая характеристика страхового права</w:t>
      </w: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 Совокупность правовых норм, регулирующих общественные отношения по организации страхового дела, а т.ж. отношения, возникающие в связи с осуществлением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наука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учебная дисциплина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страховая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дело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lang w:eastAsia="ru-RU"/>
        </w:rPr>
        <w:t xml:space="preserve">1.4 </w:t>
      </w:r>
      <w:r w:rsidRPr="001F2D94">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 Материальные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1.9 М</w:t>
      </w:r>
      <w:r w:rsidRPr="001F2D94">
        <w:rPr>
          <w:rFonts w:ascii="Times New Roman" w:eastAsia="Times New Roman" w:hAnsi="Times New Roman" w:cs="Times New Roman"/>
          <w:sz w:val="24"/>
          <w:szCs w:val="24"/>
          <w:lang w:eastAsia="ru-RU"/>
        </w:rPr>
        <w:t>атериальные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1.10 В</w:t>
      </w:r>
      <w:r w:rsidRPr="001F2D94">
        <w:rPr>
          <w:rFonts w:ascii="Times New Roman" w:eastAsia="Times New Roman" w:hAnsi="Times New Roman" w:cs="Times New Roman"/>
          <w:sz w:val="24"/>
          <w:szCs w:val="24"/>
          <w:lang w:eastAsia="ru-RU"/>
        </w:rPr>
        <w:t>спомогательные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1.11 О</w:t>
      </w:r>
      <w:r w:rsidRPr="001F2D94">
        <w:rPr>
          <w:rFonts w:ascii="Times New Roman" w:eastAsia="Times New Roman" w:hAnsi="Times New Roman" w:cs="Times New Roman"/>
          <w:sz w:val="24"/>
          <w:szCs w:val="24"/>
          <w:lang w:eastAsia="ru-RU"/>
        </w:rPr>
        <w:t>рганизационные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1.12 Ю</w:t>
      </w:r>
      <w:r w:rsidRPr="001F2D94">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1.13 Ю</w:t>
      </w:r>
      <w:r w:rsidRPr="001F2D94">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1.16 Ф</w:t>
      </w:r>
      <w:r w:rsidRPr="001F2D94">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система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1.22 Общая часть страхового права включает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устанавливающие основные начала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его виды и юридические формы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страховой организации и её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1.24 В административно-правовой</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нет правильного ответа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1.26 Особенная часть административно-правового раздела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представлена следующими институтами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1.28 Главный источник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Конституция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судебный прецедент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страхователей, застрахованных лиц,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страховых брокеров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т.е имеет право требовать от страховщика исполнения его обязанности по страховой выплате себе или третьему лицу – выгодопреобретателю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1.31 Страхователями могут быть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лица без гражданства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иностранцы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иностранные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граждане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1.32 Страхователь свободен в выборе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добровольным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обязательному государственному страхованию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влечёт прекращение страхового обязательства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дееспособностью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правосубъектностью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деликтоспособностью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1.36 Страхование третьего лица может быть</w:t>
      </w:r>
    </w:p>
    <w:p w:rsidR="001F2D94" w:rsidRPr="001F2D94" w:rsidRDefault="001F2D94" w:rsidP="001F2D94">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добровольным</w:t>
      </w:r>
      <w:r w:rsidRPr="001F2D94">
        <w:rPr>
          <w:rFonts w:ascii="Times New Roman" w:eastAsia="Times New Roman" w:hAnsi="Times New Roman" w:cs="Times New Roman"/>
          <w:sz w:val="24"/>
          <w:szCs w:val="24"/>
          <w:lang w:eastAsia="ru-RU"/>
        </w:rPr>
        <w:tab/>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добровольным, так и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1.37 Обязательное страхование третьих лиц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только личным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имущественным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как личным, так и имущественным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1.38 При добровольном страховании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свой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предпринимательского риска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жизни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здоровья</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 xml:space="preserve">- </w:t>
      </w:r>
      <w:r w:rsidRPr="001F2D94">
        <w:rPr>
          <w:rFonts w:ascii="Times New Roman" w:eastAsia="Times New Roman" w:hAnsi="Times New Roman" w:cs="Times New Roman"/>
          <w:sz w:val="24"/>
          <w:szCs w:val="24"/>
          <w:lang w:eastAsia="ru-RU"/>
        </w:rPr>
        <w:t>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требуется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в обязательном порядке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потребовать в административном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18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16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14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1.53 По добровольным видам страхования вопрос о том, кому быть выгодоприобретателем, решает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имеет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1.56 Замена выгодоприобретателя может иметь место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после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 страхового случая, так и после него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в случаях прямо предусмотренных в законе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самого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1.59 Выгодоприобретатель не может быть заменён, если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предъявил страховщику требование о страховой выплате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не предопределён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1.61 Не подлежит лицензированию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1.62 Подлежит аттестации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организаций</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брокеров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агентов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1.64 Страховщики вправе осуществлять </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любые виды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специальной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учредителей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законодателя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1.66 Организационно-правовые формы страховщика</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и ООО</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хозяйственные товарищества </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ООО или ОДО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группы</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возможность такого страхования предусмотрена законом</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наличие лицензии на страхование соответствующего вида</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в некоммерческой форме</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1.70 Признаки объединения страховщиков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объединение не отвечает по обязательствам своих членов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(сострахования) крупных страховых рисков, их дополнительного страхования, а т.ж. перестрахования этих рисков создаются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1.72 Признаки страхового пула</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не 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1.73 Признаки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страховой агент – это организации, </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все ответы верные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агента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актуария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актуарий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Ежемесячно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Ежеквартально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каждого финансового года</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календарного 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 – техник</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2 Государственное регулирование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правовое регулирование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2.2 </w:t>
      </w:r>
      <w:r w:rsidRPr="001F2D94">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нормативный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индивидуальный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привлечение лиц, виновных в нарушении страхового законодательства, к установленной юридической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Прокуратурой</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Судом</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Правительством РФ</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Центральным Баком РФ</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2.6 Р</w:t>
      </w:r>
      <w:r w:rsidRPr="001F2D94">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одного года</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двух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трёх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одного года</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не менее двух лет </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трёх лет</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2.8 Страховой актуарий должен иметь </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финансовое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2.9 В</w:t>
      </w:r>
      <w:r w:rsidRPr="001F2D94">
        <w:rPr>
          <w:rFonts w:ascii="Times New Roman" w:eastAsia="Times New Roman" w:hAnsi="Times New Roman" w:cs="Times New Roman"/>
          <w:bCs/>
          <w:sz w:val="24"/>
          <w:szCs w:val="24"/>
          <w:lang w:eastAsia="ru-RU"/>
        </w:rPr>
        <w:t>ременная лицензия может выдаваться на срок</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1F2D94">
        <w:rPr>
          <w:rFonts w:ascii="Times New Roman" w:eastAsia="Times New Roman" w:hAnsi="Times New Roman" w:cs="Times New Roman"/>
          <w:bCs/>
          <w:sz w:val="24"/>
          <w:szCs w:val="24"/>
          <w:lang w:eastAsia="ru-RU"/>
        </w:rPr>
        <w:t xml:space="preserve"> – это</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i/>
          <w:sz w:val="24"/>
          <w:szCs w:val="24"/>
        </w:rPr>
        <w:t>Д</w:t>
      </w:r>
      <w:r w:rsidRPr="001F2D94">
        <w:rPr>
          <w:rFonts w:ascii="Times New Roman" w:eastAsia="Times New Roman" w:hAnsi="Times New Roman" w:cs="Times New Roman"/>
          <w:bCs/>
          <w:sz w:val="24"/>
          <w:szCs w:val="24"/>
          <w:lang w:eastAsia="ru-RU"/>
        </w:rPr>
        <w:t>иверсификации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rPr>
        <w:t xml:space="preserve">2.16 </w:t>
      </w:r>
      <w:r w:rsidRPr="001F2D94">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уставный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резервный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добавочный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распределеннуюприбыль</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Раздел 3 Гражданско-правовые основы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только одним страховщиком;</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односторонний,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страховой риск;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страховое возмещение;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оферта.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одного документа, подписанного сторонами;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вручении страхователю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3.5. Договор страхования вступает в силу: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подписания обеими сторонами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первого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страховой премии полностью;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последнего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3.6. К видам договора страхования относятся: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личный;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имущественный;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добровольный;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обязательный;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все ответы верные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перестрахование;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-взаимное 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3.8. Если страхователь ненадлежаще исполнял свои договорные обязанности,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всегда, на любой стадии действия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превышающим страховую сумму.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3.14. Сострахование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признание его незаключенным.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3.18. Договор страхования может быть заключен: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составления одного документа;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4 Отдельные виды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добровольного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обязательного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личного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 Экономические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массовость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всеоблемъемость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4.3 Юридические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4.4 Признаки добровольного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4.5 Юридические классификации  страхования предусматривают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часть первая ГК РФ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вторая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третья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4.8 Совокупность нескольких видов страхования, близких по предмету и объекту страхования, а т.ж. способу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имущественное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личное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4.11 </w:t>
      </w:r>
      <w:r w:rsidRPr="001F2D94">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4.12 Утрата или повреждение имущества, а т.ж. расходы, которые лицо произвело или должно будет произвести для восстановления нарушенного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неполноценным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4.19 Предусмотренный договором страхования размер убытка, в части которого страховщик освобождается от страховой выплаты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4.21 Франшиза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4.25 Застрахованное имущество является предметом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обязательного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4.26 Страховая сумма предусмотрена договором при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4.27 Договор страхования является</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 </w:t>
      </w:r>
      <w:r w:rsidRPr="001F2D94">
        <w:rPr>
          <w:rFonts w:ascii="Times New Roman" w:eastAsia="Times New Roman" w:hAnsi="Times New Roman" w:cs="Times New Roman"/>
          <w:iCs/>
          <w:color w:val="000000"/>
          <w:sz w:val="24"/>
          <w:szCs w:val="24"/>
          <w:lang w:eastAsia="ru-RU"/>
        </w:rPr>
        <w:t>возмездным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односторонним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многосторонним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реальным</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4.28 Страхование называется </w:t>
      </w:r>
      <w:r w:rsidRPr="001F2D94">
        <w:rPr>
          <w:rFonts w:ascii="Times New Roman" w:eastAsia="Times New Roman" w:hAnsi="Times New Roman" w:cs="Times New Roman"/>
          <w:iCs/>
          <w:color w:val="000000"/>
          <w:sz w:val="24"/>
          <w:szCs w:val="24"/>
          <w:lang w:eastAsia="ru-RU"/>
        </w:rPr>
        <w:t xml:space="preserve">сострахованием, если в </w:t>
      </w:r>
      <w:r w:rsidRPr="001F2D94">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страховщиков</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застрахованных лиц</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устного соглашения</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размере страховой суммы</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экспертной оценкой</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по балансовой стоимости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1 год</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2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3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5 лет</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факультативно-облигаторный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Default="001F2D94" w:rsidP="001F2D94">
      <w:pPr>
        <w:spacing w:after="0" w:line="240" w:lineRule="auto"/>
        <w:ind w:firstLine="709"/>
        <w:jc w:val="both"/>
        <w:rPr>
          <w:rFonts w:ascii="Times New Roman" w:eastAsia="Times New Roman" w:hAnsi="Times New Roman" w:cs="Times New Roman"/>
          <w:sz w:val="24"/>
          <w:szCs w:val="24"/>
        </w:rPr>
      </w:pPr>
    </w:p>
    <w:p w:rsidR="001F2D94" w:rsidRPr="00DB079B" w:rsidRDefault="001F2D94" w:rsidP="00E37A58">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r w:rsidR="00E724E2" w:rsidRPr="00DB079B">
        <w:rPr>
          <w:rFonts w:ascii="Times New Roman" w:eastAsia="Times New Roman" w:hAnsi="Times New Roman" w:cs="Times New Roman"/>
          <w:color w:val="000000"/>
          <w:sz w:val="24"/>
          <w:szCs w:val="24"/>
          <w:lang w:eastAsia="ru-RU"/>
        </w:rPr>
        <w:t xml:space="preserve">Безрисковое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6.1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ская страховая компания» отказало в страховой выплате ссылаясь на то, что всоответствии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ционными документами. Ляуфер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«Honda Fit».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страхования 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 xml:space="preserve">говора с ООО «Автоконнекс»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а Коннекс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сраховщик отказал в выплате срахового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ательным сертификатом. Операцио</w:t>
      </w:r>
      <w:r w:rsidR="0068693D" w:rsidRPr="00DB079B">
        <w:rPr>
          <w:rFonts w:ascii="Times New Roman" w:eastAsia="Times New Roman" w:hAnsi="Times New Roman" w:cs="Times New Roman"/>
          <w:sz w:val="24"/>
          <w:szCs w:val="24"/>
        </w:rPr>
        <w:t>нист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Default="00F36DF5" w:rsidP="006276C9">
      <w:pPr>
        <w:spacing w:after="0" w:line="240" w:lineRule="auto"/>
        <w:ind w:firstLine="709"/>
        <w:jc w:val="both"/>
        <w:rPr>
          <w:rFonts w:ascii="Times New Roman" w:eastAsia="Calibri" w:hAnsi="Times New Roman" w:cs="Times New Roman"/>
          <w:sz w:val="24"/>
          <w:szCs w:val="24"/>
        </w:rPr>
      </w:pPr>
    </w:p>
    <w:p w:rsidR="001F2D94" w:rsidRPr="001F2D94" w:rsidRDefault="001F2D94" w:rsidP="006276C9">
      <w:pPr>
        <w:spacing w:after="0" w:line="240" w:lineRule="auto"/>
        <w:ind w:firstLine="709"/>
        <w:jc w:val="both"/>
        <w:rPr>
          <w:rFonts w:ascii="Times New Roman" w:eastAsia="Calibri" w:hAnsi="Times New Roman" w:cs="Times New Roman"/>
          <w:b/>
          <w:sz w:val="24"/>
          <w:szCs w:val="24"/>
        </w:rPr>
      </w:pPr>
      <w:r w:rsidRPr="001F2D94">
        <w:rPr>
          <w:rFonts w:ascii="Times New Roman" w:eastAsia="Calibri" w:hAnsi="Times New Roman" w:cs="Times New Roman"/>
          <w:b/>
          <w:sz w:val="24"/>
          <w:szCs w:val="24"/>
        </w:rPr>
        <w:t>Примерные задания контрольной работы:</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Раскрыть содержание теоретического вопроса: «Финансовая сущность страхования».</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Заполните таблицу «Различие между страховым агентом и страховым брокером»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3095"/>
        <w:gridCol w:w="3096"/>
        <w:gridCol w:w="3096"/>
      </w:tblGrid>
      <w:tr w:rsidR="001F2D94" w:rsidRPr="001F2D94" w:rsidTr="00AB2284">
        <w:tc>
          <w:tcPr>
            <w:tcW w:w="3095" w:type="dxa"/>
          </w:tcPr>
          <w:p w:rsidR="001F2D94" w:rsidRPr="001F2D94" w:rsidRDefault="001F2D94" w:rsidP="001F2D94">
            <w:pPr>
              <w:jc w:val="center"/>
              <w:rPr>
                <w:sz w:val="24"/>
                <w:szCs w:val="24"/>
              </w:rPr>
            </w:pPr>
            <w:r w:rsidRPr="001F2D94">
              <w:rPr>
                <w:sz w:val="24"/>
                <w:szCs w:val="24"/>
              </w:rPr>
              <w:t>Признак</w:t>
            </w:r>
          </w:p>
        </w:tc>
        <w:tc>
          <w:tcPr>
            <w:tcW w:w="3096" w:type="dxa"/>
          </w:tcPr>
          <w:p w:rsidR="001F2D94" w:rsidRPr="001F2D94" w:rsidRDefault="001F2D94" w:rsidP="001F2D94">
            <w:pPr>
              <w:jc w:val="center"/>
              <w:rPr>
                <w:sz w:val="24"/>
                <w:szCs w:val="24"/>
              </w:rPr>
            </w:pPr>
            <w:r w:rsidRPr="001F2D94">
              <w:rPr>
                <w:sz w:val="24"/>
                <w:szCs w:val="24"/>
              </w:rPr>
              <w:t>Страховой агент</w:t>
            </w:r>
          </w:p>
        </w:tc>
        <w:tc>
          <w:tcPr>
            <w:tcW w:w="3096" w:type="dxa"/>
          </w:tcPr>
          <w:p w:rsidR="001F2D94" w:rsidRPr="001F2D94" w:rsidRDefault="001F2D94" w:rsidP="001F2D94">
            <w:pPr>
              <w:jc w:val="center"/>
              <w:rPr>
                <w:sz w:val="24"/>
                <w:szCs w:val="24"/>
              </w:rPr>
            </w:pPr>
            <w:r w:rsidRPr="001F2D94">
              <w:rPr>
                <w:sz w:val="24"/>
                <w:szCs w:val="24"/>
              </w:rPr>
              <w:t>Страховой брокер</w:t>
            </w: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Основная клиентура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Функционирование</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Юридическая характеристика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Регламентация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Размещение рисков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Соглашение страхователя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Принадлежность страхового портфеля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bl>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Предприниматель Ружников, заключивший в 2014 году в г. Бузулуке со страховой компанией ООО «РН-АКБ»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Обоснован ли отказ страховщика?</w:t>
      </w: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страхователь продать другому лицу свой страховой полис на предъявителя?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лицо, купившее страховой полис на предъявителя, требовать по нему возмещение своих убытков от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 каком случае договор страхования имущества будет недействительным?</w:t>
      </w:r>
    </w:p>
    <w:p w:rsidR="001F2D94" w:rsidRPr="001F2D94" w:rsidRDefault="001F2D94" w:rsidP="00A626D5">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 основании данных задачи № 3 составить договор страхования от несчастных случаев</w:t>
      </w:r>
      <w:r>
        <w:rPr>
          <w:rFonts w:ascii="Times New Roman" w:eastAsia="Times New Roman" w:hAnsi="Times New Roman" w:cs="Times New Roman"/>
          <w:sz w:val="24"/>
          <w:szCs w:val="24"/>
          <w:lang w:eastAsia="ru-RU"/>
        </w:rPr>
        <w:t>.</w:t>
      </w:r>
    </w:p>
    <w:p w:rsidR="001F2D94" w:rsidRDefault="001F2D94" w:rsidP="006276C9">
      <w:pPr>
        <w:spacing w:after="0" w:line="240" w:lineRule="auto"/>
        <w:ind w:firstLine="709"/>
        <w:jc w:val="both"/>
        <w:rPr>
          <w:rFonts w:ascii="Times New Roman" w:eastAsia="Calibri" w:hAnsi="Times New Roman" w:cs="Times New Roman"/>
          <w:sz w:val="24"/>
          <w:szCs w:val="24"/>
        </w:rPr>
      </w:pPr>
    </w:p>
    <w:p w:rsidR="001F2D94" w:rsidRPr="00DB079B" w:rsidRDefault="001F2D94"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Добровольное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r>
              <w:rPr>
                <w:sz w:val="24"/>
                <w:szCs w:val="24"/>
              </w:rPr>
              <w:t>Незачтено</w:t>
            </w:r>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заданий (таблиц), а также составление юридического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выполнено задание и неверно решена задача;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 теоретический вопрос, либо раскрыт на основе норм устаревшего законодательства.</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4C" w:rsidRDefault="00D3564C" w:rsidP="00A13401">
      <w:pPr>
        <w:spacing w:after="0" w:line="240" w:lineRule="auto"/>
      </w:pPr>
      <w:r>
        <w:separator/>
      </w:r>
    </w:p>
  </w:endnote>
  <w:endnote w:type="continuationSeparator" w:id="0">
    <w:p w:rsidR="00D3564C" w:rsidRDefault="00D3564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773ED4">
          <w:rPr>
            <w:noProof/>
          </w:rPr>
          <w:t>2</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4C" w:rsidRDefault="00D3564C" w:rsidP="00A13401">
      <w:pPr>
        <w:spacing w:after="0" w:line="240" w:lineRule="auto"/>
      </w:pPr>
      <w:r>
        <w:separator/>
      </w:r>
    </w:p>
  </w:footnote>
  <w:footnote w:type="continuationSeparator" w:id="0">
    <w:p w:rsidR="00D3564C" w:rsidRDefault="00D3564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7"/>
  </w:num>
  <w:num w:numId="4">
    <w:abstractNumId w:val="28"/>
  </w:num>
  <w:num w:numId="5">
    <w:abstractNumId w:val="24"/>
  </w:num>
  <w:num w:numId="6">
    <w:abstractNumId w:val="45"/>
  </w:num>
  <w:num w:numId="7">
    <w:abstractNumId w:val="18"/>
  </w:num>
  <w:num w:numId="8">
    <w:abstractNumId w:val="10"/>
  </w:num>
  <w:num w:numId="9">
    <w:abstractNumId w:val="8"/>
  </w:num>
  <w:num w:numId="10">
    <w:abstractNumId w:val="38"/>
  </w:num>
  <w:num w:numId="11">
    <w:abstractNumId w:val="27"/>
  </w:num>
  <w:num w:numId="12">
    <w:abstractNumId w:val="16"/>
  </w:num>
  <w:num w:numId="13">
    <w:abstractNumId w:val="15"/>
  </w:num>
  <w:num w:numId="14">
    <w:abstractNumId w:val="47"/>
  </w:num>
  <w:num w:numId="15">
    <w:abstractNumId w:val="41"/>
  </w:num>
  <w:num w:numId="16">
    <w:abstractNumId w:val="26"/>
  </w:num>
  <w:num w:numId="17">
    <w:abstractNumId w:val="35"/>
  </w:num>
  <w:num w:numId="18">
    <w:abstractNumId w:val="20"/>
  </w:num>
  <w:num w:numId="19">
    <w:abstractNumId w:val="32"/>
  </w:num>
  <w:num w:numId="20">
    <w:abstractNumId w:val="31"/>
  </w:num>
  <w:num w:numId="21">
    <w:abstractNumId w:val="42"/>
  </w:num>
  <w:num w:numId="22">
    <w:abstractNumId w:val="17"/>
  </w:num>
  <w:num w:numId="23">
    <w:abstractNumId w:val="4"/>
  </w:num>
  <w:num w:numId="24">
    <w:abstractNumId w:val="48"/>
  </w:num>
  <w:num w:numId="25">
    <w:abstractNumId w:val="5"/>
  </w:num>
  <w:num w:numId="26">
    <w:abstractNumId w:val="49"/>
  </w:num>
  <w:num w:numId="27">
    <w:abstractNumId w:val="33"/>
  </w:num>
  <w:num w:numId="28">
    <w:abstractNumId w:val="25"/>
  </w:num>
  <w:num w:numId="29">
    <w:abstractNumId w:val="37"/>
  </w:num>
  <w:num w:numId="30">
    <w:abstractNumId w:val="13"/>
  </w:num>
  <w:num w:numId="31">
    <w:abstractNumId w:val="29"/>
  </w:num>
  <w:num w:numId="32">
    <w:abstractNumId w:val="14"/>
  </w:num>
  <w:num w:numId="33">
    <w:abstractNumId w:val="30"/>
  </w:num>
  <w:num w:numId="34">
    <w:abstractNumId w:val="39"/>
  </w:num>
  <w:num w:numId="35">
    <w:abstractNumId w:val="3"/>
  </w:num>
  <w:num w:numId="36">
    <w:abstractNumId w:val="2"/>
  </w:num>
  <w:num w:numId="37">
    <w:abstractNumId w:val="34"/>
  </w:num>
  <w:num w:numId="38">
    <w:abstractNumId w:val="44"/>
  </w:num>
  <w:num w:numId="39">
    <w:abstractNumId w:val="22"/>
  </w:num>
  <w:num w:numId="40">
    <w:abstractNumId w:val="23"/>
  </w:num>
  <w:num w:numId="41">
    <w:abstractNumId w:val="6"/>
  </w:num>
  <w:num w:numId="42">
    <w:abstractNumId w:val="19"/>
  </w:num>
  <w:num w:numId="43">
    <w:abstractNumId w:val="9"/>
  </w:num>
  <w:num w:numId="44">
    <w:abstractNumId w:val="43"/>
  </w:num>
  <w:num w:numId="45">
    <w:abstractNumId w:val="40"/>
  </w:num>
  <w:num w:numId="46">
    <w:abstractNumId w:val="36"/>
  </w:num>
  <w:num w:numId="47">
    <w:abstractNumId w:val="46"/>
  </w:num>
  <w:num w:numId="48">
    <w:abstractNumId w:val="21"/>
  </w:num>
  <w:num w:numId="49">
    <w:abstractNumId w:val="1"/>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44C89"/>
    <w:rsid w:val="000513C4"/>
    <w:rsid w:val="000B61CA"/>
    <w:rsid w:val="000E0766"/>
    <w:rsid w:val="000F7287"/>
    <w:rsid w:val="00104461"/>
    <w:rsid w:val="001303CB"/>
    <w:rsid w:val="001345F1"/>
    <w:rsid w:val="00175392"/>
    <w:rsid w:val="001B0B33"/>
    <w:rsid w:val="001F2D94"/>
    <w:rsid w:val="001F39EA"/>
    <w:rsid w:val="00200EE4"/>
    <w:rsid w:val="0022699D"/>
    <w:rsid w:val="0025570B"/>
    <w:rsid w:val="0025797D"/>
    <w:rsid w:val="00270166"/>
    <w:rsid w:val="002831A2"/>
    <w:rsid w:val="002E37AF"/>
    <w:rsid w:val="00337E4C"/>
    <w:rsid w:val="00360938"/>
    <w:rsid w:val="00391F5B"/>
    <w:rsid w:val="003E0089"/>
    <w:rsid w:val="003E0AFF"/>
    <w:rsid w:val="003F16C6"/>
    <w:rsid w:val="003F3157"/>
    <w:rsid w:val="004140F5"/>
    <w:rsid w:val="00436173"/>
    <w:rsid w:val="004E4466"/>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73ED4"/>
    <w:rsid w:val="007A0598"/>
    <w:rsid w:val="007C1AD5"/>
    <w:rsid w:val="007D0D11"/>
    <w:rsid w:val="007D26C4"/>
    <w:rsid w:val="007D4F25"/>
    <w:rsid w:val="007D59E0"/>
    <w:rsid w:val="007D6F97"/>
    <w:rsid w:val="007F4BB0"/>
    <w:rsid w:val="00872001"/>
    <w:rsid w:val="00873DDB"/>
    <w:rsid w:val="00885051"/>
    <w:rsid w:val="008A2A56"/>
    <w:rsid w:val="008C3020"/>
    <w:rsid w:val="008E6D04"/>
    <w:rsid w:val="008F0130"/>
    <w:rsid w:val="0095610E"/>
    <w:rsid w:val="00964E43"/>
    <w:rsid w:val="00A109AE"/>
    <w:rsid w:val="00A13401"/>
    <w:rsid w:val="00A13CF5"/>
    <w:rsid w:val="00A626D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3564C"/>
    <w:rsid w:val="00D57EF8"/>
    <w:rsid w:val="00D8393A"/>
    <w:rsid w:val="00D91F23"/>
    <w:rsid w:val="00DB079B"/>
    <w:rsid w:val="00DB4F07"/>
    <w:rsid w:val="00DB4FD0"/>
    <w:rsid w:val="00DC7EFD"/>
    <w:rsid w:val="00DF0565"/>
    <w:rsid w:val="00DF0BF7"/>
    <w:rsid w:val="00E20936"/>
    <w:rsid w:val="00E37A58"/>
    <w:rsid w:val="00E724E2"/>
    <w:rsid w:val="00E75A0B"/>
    <w:rsid w:val="00E96129"/>
    <w:rsid w:val="00EA2F0D"/>
    <w:rsid w:val="00EF020A"/>
    <w:rsid w:val="00F1741B"/>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57E75-A602-45F1-9333-58D008A5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1F2D9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1F2D9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1F2D9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1F2D94"/>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1F2D94"/>
  </w:style>
  <w:style w:type="paragraph" w:styleId="25">
    <w:name w:val="Body Text 2"/>
    <w:basedOn w:val="a"/>
    <w:link w:val="26"/>
    <w:rsid w:val="001F2D94"/>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1F2D94"/>
    <w:rPr>
      <w:rFonts w:ascii="Times New Roman" w:eastAsia="Times New Roman" w:hAnsi="Times New Roman" w:cs="Times New Roman"/>
      <w:sz w:val="20"/>
      <w:szCs w:val="20"/>
    </w:rPr>
  </w:style>
  <w:style w:type="numbering" w:customStyle="1" w:styleId="110">
    <w:name w:val="Нет списка11"/>
    <w:next w:val="a2"/>
    <w:semiHidden/>
    <w:unhideWhenUsed/>
    <w:rsid w:val="001F2D94"/>
  </w:style>
  <w:style w:type="paragraph" w:customStyle="1" w:styleId="ConsPlusNormal">
    <w:name w:val="ConsPlusNormal"/>
    <w:rsid w:val="001F2D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1F2D94"/>
    <w:rPr>
      <w:rFonts w:ascii="Times New Roman" w:eastAsia="Times New Roman" w:hAnsi="Times New Roman" w:cs="Times New Roman"/>
      <w:sz w:val="20"/>
      <w:szCs w:val="20"/>
    </w:rPr>
  </w:style>
  <w:style w:type="character" w:styleId="afe">
    <w:name w:val="Emphasis"/>
    <w:qFormat/>
    <w:rsid w:val="001F2D94"/>
    <w:rPr>
      <w:i/>
      <w:iCs/>
    </w:rPr>
  </w:style>
  <w:style w:type="numbering" w:customStyle="1" w:styleId="210">
    <w:name w:val="Нет списка21"/>
    <w:next w:val="a2"/>
    <w:semiHidden/>
    <w:unhideWhenUsed/>
    <w:rsid w:val="001F2D94"/>
  </w:style>
  <w:style w:type="paragraph" w:customStyle="1" w:styleId="ConsNonformat">
    <w:name w:val="ConsNonformat"/>
    <w:rsid w:val="001F2D9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1F2D94"/>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table" w:customStyle="1" w:styleId="3">
    <w:name w:val="Сетка таблицы3"/>
    <w:basedOn w:val="a1"/>
    <w:next w:val="a9"/>
    <w:uiPriority w:val="59"/>
    <w:rsid w:val="001F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09C7-69F7-4481-B4A3-285C3AAA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15888</Words>
  <Characters>90565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51</cp:revision>
  <cp:lastPrinted>2019-10-30T07:33:00Z</cp:lastPrinted>
  <dcterms:created xsi:type="dcterms:W3CDTF">2019-02-26T13:15:00Z</dcterms:created>
  <dcterms:modified xsi:type="dcterms:W3CDTF">2019-12-04T10:52:00Z</dcterms:modified>
</cp:coreProperties>
</file>