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Pr="00B97846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>
        <w:rPr>
          <w:i/>
        </w:rPr>
        <w:t>«</w:t>
      </w:r>
      <w:r w:rsidR="00B97846">
        <w:rPr>
          <w:b/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535C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535C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535C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B97846" w:rsidRDefault="00A91AD6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A91AD6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>
        <w:rPr>
          <w:rFonts w:eastAsia="Times New Roman"/>
          <w:sz w:val="28"/>
          <w:szCs w:val="28"/>
          <w:lang w:eastAsia="ru-RU"/>
        </w:rPr>
        <w:t xml:space="preserve">лины </w:t>
      </w:r>
      <w:r w:rsidRPr="00A91AD6">
        <w:rPr>
          <w:rFonts w:eastAsia="Times New Roman"/>
          <w:sz w:val="28"/>
          <w:szCs w:val="28"/>
          <w:lang w:eastAsia="ru-RU"/>
        </w:rPr>
        <w:t>«</w:t>
      </w:r>
      <w:r w:rsidR="00B97846" w:rsidRPr="00B97846">
        <w:rPr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  <w:r w:rsidR="00B97846">
        <w:rPr>
          <w:b/>
          <w:bCs/>
          <w:sz w:val="32"/>
          <w:szCs w:val="28"/>
        </w:rPr>
        <w:t>,</w:t>
      </w:r>
      <w:r w:rsidR="008D7778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AA11C3">
        <w:rPr>
          <w:sz w:val="28"/>
          <w:szCs w:val="28"/>
        </w:rPr>
        <w:t>перечень функций, целей, видов самостоятельной работы ст</w:t>
      </w:r>
      <w:r w:rsidR="003F57C0">
        <w:rPr>
          <w:sz w:val="28"/>
          <w:szCs w:val="28"/>
        </w:rPr>
        <w:t>удентов, указания по организации</w:t>
      </w:r>
      <w:r w:rsidR="008D7778" w:rsidRPr="00AA11C3">
        <w:rPr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sz w:val="28"/>
          <w:szCs w:val="28"/>
        </w:rPr>
        <w:t>по</w:t>
      </w:r>
      <w:r w:rsidR="008D7778">
        <w:rPr>
          <w:sz w:val="28"/>
          <w:szCs w:val="28"/>
        </w:rPr>
        <w:t xml:space="preserve"> промежуточной а</w:t>
      </w:r>
      <w:r w:rsidR="008D7778">
        <w:rPr>
          <w:sz w:val="28"/>
          <w:szCs w:val="28"/>
        </w:rPr>
        <w:t>т</w:t>
      </w:r>
      <w:r w:rsidR="008D7778">
        <w:rPr>
          <w:sz w:val="28"/>
          <w:szCs w:val="28"/>
        </w:rPr>
        <w:t>тестации</w:t>
      </w:r>
      <w:r w:rsidR="008D7778" w:rsidRPr="00AA11C3">
        <w:rPr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97846">
        <w:rPr>
          <w:rFonts w:ascii="Times New Roman" w:eastAsia="Times New Roman" w:hAnsi="Times New Roman"/>
          <w:sz w:val="28"/>
          <w:szCs w:val="28"/>
        </w:rPr>
        <w:t>Развитие профе</w:t>
      </w:r>
      <w:r w:rsidR="00B97846">
        <w:rPr>
          <w:rFonts w:ascii="Times New Roman" w:eastAsia="Times New Roman" w:hAnsi="Times New Roman"/>
          <w:sz w:val="28"/>
          <w:szCs w:val="28"/>
        </w:rPr>
        <w:t>с</w:t>
      </w:r>
      <w:r w:rsidR="00B97846">
        <w:rPr>
          <w:rFonts w:ascii="Times New Roman" w:eastAsia="Times New Roman" w:hAnsi="Times New Roman"/>
          <w:sz w:val="28"/>
          <w:szCs w:val="28"/>
        </w:rPr>
        <w:t>сионально-педагогического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16F6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1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424BE">
        <w:rPr>
          <w:sz w:val="28"/>
          <w:szCs w:val="28"/>
        </w:rPr>
        <w:t>истема знаний, категорий и понятий</w:t>
      </w:r>
      <w:r>
        <w:rPr>
          <w:sz w:val="28"/>
          <w:szCs w:val="28"/>
        </w:rPr>
        <w:t xml:space="preserve"> педагогического образования </w:t>
      </w:r>
      <w:r w:rsidR="002424BE">
        <w:rPr>
          <w:sz w:val="28"/>
          <w:szCs w:val="28"/>
        </w:rPr>
        <w:t>представляет высший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</w:t>
      </w:r>
      <w:r w:rsidR="002424BE">
        <w:rPr>
          <w:sz w:val="28"/>
          <w:szCs w:val="28"/>
        </w:rPr>
        <w:t>р</w:t>
      </w:r>
      <w:r w:rsidR="002424BE">
        <w:rPr>
          <w:sz w:val="28"/>
          <w:szCs w:val="28"/>
        </w:rPr>
        <w:t>мировании моделей феноменов мира и человека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>
        <w:rPr>
          <w:sz w:val="28"/>
          <w:szCs w:val="28"/>
        </w:rPr>
        <w:t>ношение к проблемам познания ,формирования интереса к познавательной деятельности</w:t>
      </w:r>
      <w:r w:rsidR="00E84A4D">
        <w:rPr>
          <w:sz w:val="28"/>
          <w:szCs w:val="28"/>
        </w:rPr>
        <w:t>- необходимое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профессионально-педагогического интереса,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помощью мысли, адекватного применения нав</w:t>
      </w:r>
      <w:r w:rsidR="002A0B29">
        <w:rPr>
          <w:sz w:val="28"/>
          <w:szCs w:val="28"/>
        </w:rPr>
        <w:t>ы</w:t>
      </w:r>
      <w:r>
        <w:rPr>
          <w:sz w:val="28"/>
          <w:szCs w:val="28"/>
        </w:rPr>
        <w:t>ков формирования свода интересов в профессиональной и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2A0B29">
        <w:rPr>
          <w:sz w:val="28"/>
          <w:szCs w:val="28"/>
        </w:rPr>
        <w:t xml:space="preserve"> </w:t>
      </w:r>
    </w:p>
    <w:p w:rsidR="00B93A08" w:rsidRPr="00E14856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гориальной и методологической точности 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74066D">
        <w:rPr>
          <w:sz w:val="28"/>
          <w:szCs w:val="28"/>
        </w:rPr>
        <w:t>ния педагогических и психологических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E14856" w:rsidTr="00E1485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категории, положения и термины теоретических и практических основ современных систем воспитания  обучающихся в соответствии с ценностями  духовно-нравственной культуры и  гражданственности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учитывать индивидуальные потребности обучающихся в процессе  формирования  воспитания и духовно-нравственного развития; грамотно и методически правильно выстраивать процесс воспитания и образования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теоретическими, методическими, практическими основами современных воспитательных технологий  в формировании  у  обучающихся  духовных,  нравственных ценностей и гражданственности; профессиональными умениями личностно-развивающих и гуманистических взаимодействий педагогических работников и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исследовательских,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вариативными возможностями осуществления определенных исследовательских,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ПК-12 готовность  к  участию  в  исследованиях  проблем,  возникающих  в процессе  подготовки  рабочих,  сл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жащих  и  специалистов  среднего 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1566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734"/>
        <w:gridCol w:w="1416"/>
        <w:gridCol w:w="1416"/>
      </w:tblGrid>
      <w:tr w:rsidR="00E14856" w:rsidTr="008535C4">
        <w:trPr>
          <w:tblHeader/>
          <w:jc w:val="center"/>
        </w:trPr>
        <w:tc>
          <w:tcPr>
            <w:tcW w:w="8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14856" w:rsidTr="008535C4">
        <w:trPr>
          <w:tblHeader/>
          <w:jc w:val="center"/>
        </w:trPr>
        <w:tc>
          <w:tcPr>
            <w:tcW w:w="8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</w:rPr>
              <w:t>КонтрР</w:t>
            </w:r>
            <w:proofErr w:type="spellEnd"/>
            <w:r>
              <w:rPr>
                <w:rFonts w:eastAsia="Times New Roman"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14856" w:rsidRDefault="00E14856" w:rsidP="00E14856">
      <w:pPr>
        <w:pStyle w:val="ReportMain"/>
        <w:suppressAutoHyphens/>
        <w:ind w:firstLine="709"/>
        <w:jc w:val="both"/>
        <w:rPr>
          <w:szCs w:val="20"/>
        </w:rPr>
      </w:pPr>
    </w:p>
    <w:p w:rsidR="00E14856" w:rsidRDefault="00E14856" w:rsidP="00E14856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pPr w:leftFromText="180" w:rightFromText="180" w:vertAnchor="text" w:horzAnchor="margin" w:tblpXSpec="center" w:tblpY="14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14856" w:rsidTr="00E1485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феномен и предмет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научно-педагогическая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</w:tbl>
    <w:p w:rsidR="00E14856" w:rsidRDefault="00E14856" w:rsidP="00E14856">
      <w:pPr>
        <w:pStyle w:val="ReportMain"/>
        <w:keepNext/>
        <w:suppressAutoHyphens/>
        <w:ind w:firstLine="709"/>
        <w:jc w:val="both"/>
      </w:pPr>
    </w:p>
    <w:p w:rsidR="00E14856" w:rsidRDefault="00E14856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lastRenderedPageBreak/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 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901E1C">
        <w:rPr>
          <w:rFonts w:ascii="Times New Roman" w:hAnsi="Times New Roman" w:cs="Times New Roman"/>
          <w:sz w:val="28"/>
          <w:szCs w:val="28"/>
        </w:rPr>
        <w:t>«Развитие профессионально-педагогического интереса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>
        <w:rPr>
          <w:rFonts w:ascii="Times New Roman" w:hAnsi="Times New Roman" w:cs="Times New Roman"/>
          <w:sz w:val="28"/>
          <w:szCs w:val="28"/>
        </w:rPr>
        <w:t>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«Развитие професси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нально-педагогического интереса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содержания,его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8535C4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8535C4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>
        <w:rPr>
          <w:sz w:val="27"/>
          <w:szCs w:val="27"/>
        </w:rPr>
        <w:t xml:space="preserve">идеи, рассеивать внимание.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читаться;текст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F10155" w:rsidRDefault="00F10155" w:rsidP="00F1015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10155" w:rsidTr="00F10155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Феномен понятия «интерес» в философии, психологии, педагогике: изыскания Г.Гегеля, </w:t>
            </w:r>
            <w:proofErr w:type="spellStart"/>
            <w:r>
              <w:rPr>
                <w:rFonts w:eastAsia="Times New Roman"/>
              </w:rPr>
              <w:t>И.Гербарта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А.Дистервега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keepNext/>
              <w:suppressAutoHyphens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видов интереса.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Структура, критерии, уровни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уровня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 xml:space="preserve"> :</w:t>
      </w:r>
      <w:r w:rsidR="008535C4" w:rsidRPr="008535C4">
        <w:rPr>
          <w:rFonts w:eastAsia="Times New Roman"/>
        </w:rPr>
        <w:t xml:space="preserve"> </w:t>
      </w:r>
      <w:r w:rsidR="008535C4">
        <w:rPr>
          <w:rFonts w:eastAsia="Times New Roman"/>
        </w:rPr>
        <w:t>Феномен понятия «интерес» в философии, психологии, педагогике: изыск</w:t>
      </w:r>
      <w:r w:rsidR="008535C4">
        <w:rPr>
          <w:rFonts w:eastAsia="Times New Roman"/>
        </w:rPr>
        <w:t>а</w:t>
      </w:r>
      <w:r w:rsidR="008535C4">
        <w:rPr>
          <w:rFonts w:eastAsia="Times New Roman"/>
        </w:rPr>
        <w:t xml:space="preserve">ния Г.Гегеля,  </w:t>
      </w:r>
      <w:proofErr w:type="spellStart"/>
      <w:r w:rsidR="008535C4">
        <w:rPr>
          <w:rFonts w:eastAsia="Times New Roman"/>
        </w:rPr>
        <w:t>И.Гербарта</w:t>
      </w:r>
      <w:proofErr w:type="spellEnd"/>
      <w:r w:rsidR="008535C4">
        <w:rPr>
          <w:rFonts w:eastAsia="Times New Roman"/>
        </w:rPr>
        <w:t xml:space="preserve">, </w:t>
      </w:r>
      <w:proofErr w:type="spellStart"/>
      <w:r w:rsidR="008535C4">
        <w:rPr>
          <w:rFonts w:eastAsia="Times New Roman"/>
        </w:rPr>
        <w:t>А.Дистервега</w:t>
      </w:r>
      <w:proofErr w:type="spellEnd"/>
    </w:p>
    <w:p w:rsidR="008535C4" w:rsidRDefault="00AC1419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</w:t>
      </w:r>
      <w:r w:rsidR="008535C4">
        <w:rPr>
          <w:rFonts w:ascii="Calibri" w:eastAsia="Times New Roman" w:hAnsi="Calibri"/>
          <w:b/>
        </w:rPr>
        <w:t>ов</w:t>
      </w:r>
    </w:p>
    <w:p w:rsidR="00B73DEC" w:rsidRPr="00581684" w:rsidRDefault="00B73DEC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581684">
        <w:rPr>
          <w:rFonts w:ascii="Calibri" w:eastAsia="Times New Roman" w:hAnsi="Calibri"/>
        </w:rPr>
        <w:t>Человек</w:t>
      </w:r>
      <w:r w:rsidR="00581684">
        <w:rPr>
          <w:rFonts w:ascii="Calibri" w:eastAsia="Times New Roman" w:hAnsi="Calibri"/>
        </w:rPr>
        <w:t xml:space="preserve"> как продукт истории и культуры, как творец и созидатель в изысканиях Г.Гегеля. Обучение и воспитание как единый процесс, формирующий нравственного ч</w:t>
      </w:r>
      <w:r w:rsidR="00581684">
        <w:rPr>
          <w:rFonts w:ascii="Calibri" w:eastAsia="Times New Roman" w:hAnsi="Calibri"/>
        </w:rPr>
        <w:t>е</w:t>
      </w:r>
      <w:r w:rsidR="00581684">
        <w:rPr>
          <w:rFonts w:ascii="Calibri" w:eastAsia="Times New Roman" w:hAnsi="Calibri"/>
        </w:rPr>
        <w:t xml:space="preserve">ловека в изысканиях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581684">
        <w:rPr>
          <w:rFonts w:ascii="Calibri" w:eastAsia="Times New Roman" w:hAnsi="Calibri"/>
        </w:rPr>
        <w:t>. Роль интереса в этом процессе. Связь педагогики с ф</w:t>
      </w:r>
      <w:r w:rsidR="00581684">
        <w:rPr>
          <w:rFonts w:ascii="Calibri" w:eastAsia="Times New Roman" w:hAnsi="Calibri"/>
        </w:rPr>
        <w:t>и</w:t>
      </w:r>
      <w:r w:rsidR="00581684">
        <w:rPr>
          <w:rFonts w:ascii="Calibri" w:eastAsia="Times New Roman" w:hAnsi="Calibri"/>
        </w:rPr>
        <w:t xml:space="preserve">лософией, этикой, психологией в трудах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4751C1">
        <w:rPr>
          <w:rFonts w:ascii="Calibri" w:eastAsia="Times New Roman" w:hAnsi="Calibri"/>
        </w:rPr>
        <w:t xml:space="preserve">. Роль личностного вклада человека в процесс развития и образования в изысканиях </w:t>
      </w:r>
      <w:proofErr w:type="spellStart"/>
      <w:r w:rsidR="004751C1">
        <w:rPr>
          <w:rFonts w:ascii="Calibri" w:eastAsia="Times New Roman" w:hAnsi="Calibri"/>
        </w:rPr>
        <w:t>А.В.Дистервега</w:t>
      </w:r>
      <w:proofErr w:type="spellEnd"/>
      <w:r w:rsidR="004751C1">
        <w:rPr>
          <w:rFonts w:ascii="Calibri" w:eastAsia="Times New Roman" w:hAnsi="Calibri"/>
        </w:rPr>
        <w:t xml:space="preserve">. Категория интереса как средство объединения всех аспектов культуры: </w:t>
      </w:r>
      <w:proofErr w:type="spellStart"/>
      <w:r w:rsidR="004751C1">
        <w:rPr>
          <w:rFonts w:ascii="Calibri" w:eastAsia="Times New Roman" w:hAnsi="Calibri"/>
        </w:rPr>
        <w:t>природосообразность</w:t>
      </w:r>
      <w:proofErr w:type="spellEnd"/>
      <w:r w:rsidR="004751C1">
        <w:rPr>
          <w:rFonts w:ascii="Calibri" w:eastAsia="Times New Roman" w:hAnsi="Calibri"/>
        </w:rPr>
        <w:t xml:space="preserve">, </w:t>
      </w:r>
      <w:proofErr w:type="spellStart"/>
      <w:r w:rsidR="004751C1">
        <w:rPr>
          <w:rFonts w:ascii="Calibri" w:eastAsia="Times New Roman" w:hAnsi="Calibri"/>
        </w:rPr>
        <w:t>культуросообра</w:t>
      </w:r>
      <w:r w:rsidR="004751C1">
        <w:rPr>
          <w:rFonts w:ascii="Calibri" w:eastAsia="Times New Roman" w:hAnsi="Calibri"/>
        </w:rPr>
        <w:t>з</w:t>
      </w:r>
      <w:r w:rsidR="004751C1">
        <w:rPr>
          <w:rFonts w:ascii="Calibri" w:eastAsia="Times New Roman" w:hAnsi="Calibri"/>
        </w:rPr>
        <w:t>ность</w:t>
      </w:r>
      <w:proofErr w:type="spellEnd"/>
      <w:r w:rsidR="004751C1">
        <w:rPr>
          <w:rFonts w:ascii="Calibri" w:eastAsia="Times New Roman" w:hAnsi="Calibri"/>
        </w:rPr>
        <w:t>, самодеятельность.</w:t>
      </w:r>
    </w:p>
    <w:p w:rsidR="00CE2CD7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</w:t>
      </w:r>
      <w:r>
        <w:rPr>
          <w:szCs w:val="24"/>
        </w:rPr>
        <w:lastRenderedPageBreak/>
        <w:t>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E13680">
        <w:rPr>
          <w:szCs w:val="24"/>
        </w:rPr>
        <w:t xml:space="preserve"> компетенции 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E13680">
        <w:rPr>
          <w:szCs w:val="24"/>
        </w:rPr>
        <w:t>2,ПК-6,ПК-12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FA053D">
        <w:t xml:space="preserve"> :</w:t>
      </w:r>
      <w:r w:rsidR="00E13680" w:rsidRPr="00E13680">
        <w:rPr>
          <w:rFonts w:eastAsia="Times New Roman"/>
        </w:rPr>
        <w:t xml:space="preserve"> </w:t>
      </w:r>
      <w:r w:rsidR="00E13680">
        <w:rPr>
          <w:rFonts w:eastAsia="Times New Roman"/>
        </w:rPr>
        <w:t>Классификация видов интереса</w:t>
      </w:r>
      <w:r w:rsidR="00FA053D">
        <w:t xml:space="preserve"> 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13680" w:rsidRPr="00E13680" w:rsidRDefault="00E13680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13680">
        <w:rPr>
          <w:rFonts w:ascii="Calibri" w:eastAsia="Times New Roman" w:hAnsi="Calibri"/>
        </w:rPr>
        <w:t>Интерес как</w:t>
      </w:r>
      <w:r>
        <w:rPr>
          <w:rFonts w:ascii="Calibri" w:eastAsia="Times New Roman" w:hAnsi="Calibri"/>
        </w:rPr>
        <w:t xml:space="preserve"> отношение субъекта к явлениям или предметам. Социальная сфера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тересов: классовые, групповые, общенациональные, индивидуальные;</w:t>
      </w:r>
      <w:r w:rsidR="008A2E26">
        <w:rPr>
          <w:rFonts w:ascii="Calibri" w:eastAsia="Times New Roman" w:hAnsi="Calibri"/>
        </w:rPr>
        <w:t xml:space="preserve"> сфера обществе</w:t>
      </w:r>
      <w:r w:rsidR="008A2E26">
        <w:rPr>
          <w:rFonts w:ascii="Calibri" w:eastAsia="Times New Roman" w:hAnsi="Calibri"/>
        </w:rPr>
        <w:t>н</w:t>
      </w:r>
      <w:r w:rsidR="008A2E26">
        <w:rPr>
          <w:rFonts w:ascii="Calibri" w:eastAsia="Times New Roman" w:hAnsi="Calibri"/>
        </w:rPr>
        <w:t>ной жизни: духовные, экономические, политические; сфера отражения: абстрактные, ст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>хийные, реальные, минимальные, осознанные; сфера тенденций общественного разв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 xml:space="preserve">тия: реакционные, прогрессивные, консервативные 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8A2E26" w:rsidRDefault="008A2E26" w:rsidP="001335BA">
      <w:pPr>
        <w:pStyle w:val="Default"/>
        <w:spacing w:line="276" w:lineRule="auto"/>
        <w:ind w:firstLine="567"/>
        <w:jc w:val="both"/>
      </w:pPr>
      <w:r>
        <w:t>Отрабатываются компетенции ПК-6,12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8A2E26" w:rsidRDefault="00FF3D43" w:rsidP="008A2E26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8A2E26">
        <w:rPr>
          <w:rFonts w:eastAsia="Times New Roman"/>
        </w:rPr>
        <w:t>Структура, критерии, уровни развития профессионально-педагогического интереса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2E26" w:rsidRDefault="00022E6D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Разнообразие интересов при наличии основного центрального интереса. узкие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тересы. Наличие двух ограниченных интересов при равнодушии ко всему остальному. Глубокие интересы, потребность основательно изучить объект. Поверх</w:t>
      </w:r>
      <w:r w:rsidR="008C0DDA">
        <w:rPr>
          <w:rFonts w:ascii="Calibri" w:eastAsia="Times New Roman" w:hAnsi="Calibri"/>
        </w:rPr>
        <w:t>ностные, прямые, косвенные интересы. Пассивные интересы. Активные интересы. Созерцательные и дейс</w:t>
      </w:r>
      <w:r w:rsidR="008C0DDA">
        <w:rPr>
          <w:rFonts w:ascii="Calibri" w:eastAsia="Times New Roman" w:hAnsi="Calibri"/>
        </w:rPr>
        <w:t>т</w:t>
      </w:r>
      <w:r w:rsidR="008C0DDA">
        <w:rPr>
          <w:rFonts w:ascii="Calibri" w:eastAsia="Times New Roman" w:hAnsi="Calibri"/>
        </w:rPr>
        <w:t>венные интересы. Интерес-отношение</w:t>
      </w:r>
      <w:r>
        <w:rPr>
          <w:rFonts w:ascii="Calibri" w:eastAsia="Times New Roman" w:hAnsi="Calibri"/>
        </w:rPr>
        <w:t xml:space="preserve">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8C0DDA">
        <w:t xml:space="preserve">ктеристикам и ситуативным иллюстрациям проявления тех или иных интересов </w:t>
      </w:r>
      <w:r>
        <w:t>( индивидуальные з</w:t>
      </w:r>
      <w:r>
        <w:t>а</w:t>
      </w:r>
      <w:r>
        <w:t>дания), групповая работа</w:t>
      </w:r>
      <w:r w:rsidR="00481AA9">
        <w:t xml:space="preserve"> по конспектированию основных положений содержания презе</w:t>
      </w:r>
      <w:r w:rsidR="00481AA9">
        <w:t>н</w:t>
      </w:r>
      <w:r w:rsidR="00481AA9">
        <w:t>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8C0DDA" w:rsidRDefault="008C0DDA" w:rsidP="00FF3D43">
      <w:pPr>
        <w:pStyle w:val="Default"/>
        <w:spacing w:line="276" w:lineRule="auto"/>
        <w:ind w:firstLine="567"/>
        <w:jc w:val="both"/>
      </w:pPr>
      <w:r>
        <w:t>Отрабатывается формирование компетенций: ПК-2,6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</w:t>
      </w:r>
      <w:r w:rsidR="008C0DDA">
        <w:t xml:space="preserve">: </w:t>
      </w:r>
      <w:r w:rsidR="008C0DDA">
        <w:rPr>
          <w:rFonts w:eastAsia="Times New Roman"/>
        </w:rPr>
        <w:t>Диагностика уровня развития профессионально-педагогического интереса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C0DDA" w:rsidRPr="00B6158F" w:rsidRDefault="00B6158F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6158F">
        <w:rPr>
          <w:rFonts w:ascii="Calibri" w:eastAsia="Times New Roman" w:hAnsi="Calibri"/>
        </w:rPr>
        <w:t>Содержание диагностики</w:t>
      </w:r>
      <w:r>
        <w:rPr>
          <w:rFonts w:ascii="Calibri" w:eastAsia="Times New Roman" w:hAnsi="Calibri"/>
        </w:rPr>
        <w:t xml:space="preserve"> А.С.Глинского по выявлению уровня развития професси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нально-педагогического интереса. Высокий уровень активности и формирования интер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са: увлеченность, сосредоточенность, положительные эмоции. Средний уровень развития интереса: избирательное проявления интереса, которые активизируются при стимуляции обучающего то есть учителя. Низкий уровень развития интереса:  обучающий самосто</w:t>
      </w:r>
      <w:r>
        <w:rPr>
          <w:rFonts w:ascii="Calibri" w:eastAsia="Times New Roman" w:hAnsi="Calibri"/>
        </w:rPr>
        <w:t>я</w:t>
      </w:r>
      <w:r>
        <w:rPr>
          <w:rFonts w:ascii="Calibri" w:eastAsia="Times New Roman" w:hAnsi="Calibri"/>
        </w:rPr>
        <w:lastRenderedPageBreak/>
        <w:t>тельно не может включиться в процесс, отвлекается, интерес к процессу проявляет фра</w:t>
      </w:r>
      <w:r>
        <w:rPr>
          <w:rFonts w:ascii="Calibri" w:eastAsia="Times New Roman" w:hAnsi="Calibri"/>
        </w:rPr>
        <w:t>г</w:t>
      </w:r>
      <w:r>
        <w:rPr>
          <w:rFonts w:ascii="Calibri" w:eastAsia="Times New Roman" w:hAnsi="Calibri"/>
        </w:rPr>
        <w:t>ментарно.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Формируются компетенции: ПК-2,6,12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 :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 xml:space="preserve">Крюков, В.В. Философия :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 ;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Философия :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 ;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 xml:space="preserve"> : электронное учеб. пособие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 : ОГУ :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 :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 ;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 ;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 :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ил., табл., схем. - ISBN 978-5-7996-1162-0 ;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 :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тет». - Оренбург :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 ;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r>
        <w:rPr>
          <w:szCs w:val="24"/>
        </w:rPr>
        <w:t> : журнал. - Оренбург :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 :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оптимальную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>софские традиции и современные дискуссии: блок А(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6D" w:rsidRDefault="00022E6D" w:rsidP="00817BE6">
      <w:pPr>
        <w:spacing w:after="0" w:line="240" w:lineRule="auto"/>
      </w:pPr>
      <w:r>
        <w:separator/>
      </w:r>
    </w:p>
  </w:endnote>
  <w:endnote w:type="continuationSeparator" w:id="1">
    <w:p w:rsidR="00022E6D" w:rsidRDefault="00022E6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2E6D" w:rsidRDefault="00360CF9">
        <w:pPr>
          <w:pStyle w:val="a7"/>
          <w:jc w:val="center"/>
        </w:pPr>
        <w:fldSimple w:instr="PAGE   \* MERGEFORMAT">
          <w:r w:rsidR="00416F64">
            <w:rPr>
              <w:noProof/>
            </w:rPr>
            <w:t>5</w:t>
          </w:r>
        </w:fldSimple>
      </w:p>
    </w:sdtContent>
  </w:sdt>
  <w:p w:rsidR="00022E6D" w:rsidRDefault="00022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6D" w:rsidRDefault="00022E6D" w:rsidP="00817BE6">
      <w:pPr>
        <w:spacing w:after="0" w:line="240" w:lineRule="auto"/>
      </w:pPr>
      <w:r>
        <w:separator/>
      </w:r>
    </w:p>
  </w:footnote>
  <w:footnote w:type="continuationSeparator" w:id="1">
    <w:p w:rsidR="00022E6D" w:rsidRDefault="00022E6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567E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CF9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16F64"/>
    <w:rsid w:val="00464917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364C3"/>
    <w:rsid w:val="005612A7"/>
    <w:rsid w:val="005655FF"/>
    <w:rsid w:val="00572EE0"/>
    <w:rsid w:val="00576053"/>
    <w:rsid w:val="00577215"/>
    <w:rsid w:val="00581684"/>
    <w:rsid w:val="005A1AE2"/>
    <w:rsid w:val="005B4732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237BD"/>
    <w:rsid w:val="0074066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52328"/>
    <w:rsid w:val="008535C4"/>
    <w:rsid w:val="00854A03"/>
    <w:rsid w:val="00857964"/>
    <w:rsid w:val="008612F5"/>
    <w:rsid w:val="00875FD6"/>
    <w:rsid w:val="00886614"/>
    <w:rsid w:val="00891CFA"/>
    <w:rsid w:val="008940B0"/>
    <w:rsid w:val="008960B2"/>
    <w:rsid w:val="008A2E26"/>
    <w:rsid w:val="008C080B"/>
    <w:rsid w:val="008C0DDA"/>
    <w:rsid w:val="008D7778"/>
    <w:rsid w:val="008E1038"/>
    <w:rsid w:val="008F493E"/>
    <w:rsid w:val="009001C2"/>
    <w:rsid w:val="00901795"/>
    <w:rsid w:val="00901E1C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30FB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16A5"/>
    <w:rsid w:val="00E13680"/>
    <w:rsid w:val="00E143A0"/>
    <w:rsid w:val="00E14856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F023A0"/>
    <w:rsid w:val="00F10155"/>
    <w:rsid w:val="00F14392"/>
    <w:rsid w:val="00F1559F"/>
    <w:rsid w:val="00F26E9B"/>
    <w:rsid w:val="00F46FAD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D7E4-F2B2-40D4-A3F0-8409814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26</Pages>
  <Words>8024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SandBox</cp:lastModifiedBy>
  <cp:revision>78</cp:revision>
  <dcterms:created xsi:type="dcterms:W3CDTF">2016-10-09T16:26:00Z</dcterms:created>
  <dcterms:modified xsi:type="dcterms:W3CDTF">2019-10-14T08:02:00Z</dcterms:modified>
</cp:coreProperties>
</file>