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600141" w:rsidP="00F16A6C">
      <w:pPr>
        <w:suppressAutoHyphens/>
        <w:jc w:val="center"/>
        <w:rPr>
          <w:rFonts w:eastAsia="Arial Unicode MS"/>
          <w:i/>
          <w:sz w:val="24"/>
          <w:szCs w:val="24"/>
          <w:u w:val="single"/>
          <w:lang w:eastAsia="ru-RU"/>
        </w:rPr>
      </w:pPr>
      <w:r>
        <w:rPr>
          <w:rFonts w:eastAsia="Arial Unicode MS"/>
          <w:i/>
          <w:sz w:val="24"/>
          <w:szCs w:val="24"/>
          <w:u w:val="single"/>
          <w:lang w:eastAsia="ru-RU"/>
        </w:rPr>
        <w:t>за</w:t>
      </w:r>
      <w:bookmarkStart w:id="0" w:name="_GoBack"/>
      <w:bookmarkEnd w:id="0"/>
      <w:r w:rsidR="00F16A6C" w:rsidRPr="00F16A6C">
        <w:rPr>
          <w:rFonts w:eastAsia="Arial Unicode MS"/>
          <w:i/>
          <w:sz w:val="24"/>
          <w:szCs w:val="24"/>
          <w:u w:val="single"/>
          <w:lang w:eastAsia="ru-RU"/>
        </w:rPr>
        <w:t>очная</w:t>
      </w:r>
    </w:p>
    <w:p w:rsidR="00F16A6C" w:rsidRPr="00F16A6C" w:rsidRDefault="00F16A6C" w:rsidP="00F16A6C">
      <w:pPr>
        <w:suppressAutoHyphens/>
        <w:jc w:val="center"/>
        <w:rPr>
          <w:rFonts w:eastAsia="Arial Unicode MS"/>
          <w:sz w:val="24"/>
          <w:szCs w:val="24"/>
          <w:lang w:eastAsia="ru-RU"/>
        </w:rPr>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252726" w:rsidP="00A81774">
      <w:pPr>
        <w:widowControl w:val="0"/>
        <w:jc w:val="center"/>
        <w:rPr>
          <w:rFonts w:eastAsia="Calibri"/>
          <w:sz w:val="24"/>
          <w:szCs w:val="24"/>
        </w:rPr>
      </w:pPr>
      <w:r>
        <w:rPr>
          <w:sz w:val="24"/>
          <w:szCs w:val="24"/>
        </w:rPr>
        <w:t>Год набора 2022</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1" w:name="BookmarkTestIsMustDelChr13"/>
      <w:bookmarkEnd w:id="1"/>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w:t>
      </w:r>
      <w:r w:rsidR="00252726">
        <w:rPr>
          <w:rFonts w:eastAsia="Calibri"/>
          <w:i/>
          <w:sz w:val="24"/>
          <w:szCs w:val="24"/>
        </w:rPr>
        <w:t>Налоговое</w:t>
      </w:r>
      <w:r w:rsidRPr="00F16A6C">
        <w:rPr>
          <w:rFonts w:eastAsia="Calibri"/>
          <w:i/>
          <w:sz w:val="24"/>
          <w:szCs w:val="24"/>
        </w:rPr>
        <w:t xml:space="preserve">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w:t>
      </w:r>
      <w:r w:rsidR="00252726">
        <w:rPr>
          <w:rFonts w:eastAsia="Calibri"/>
          <w:sz w:val="24"/>
          <w:szCs w:val="22"/>
          <w:u w:val="single"/>
        </w:rPr>
        <w:t>2</w:t>
      </w:r>
      <w:r w:rsidRPr="00F16A6C">
        <w:rPr>
          <w:rFonts w:eastAsia="Calibri"/>
          <w:sz w:val="24"/>
          <w:szCs w:val="22"/>
          <w:u w:val="single"/>
        </w:rPr>
        <w:t xml:space="preserve">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r>
        <w:rPr>
          <w:rFonts w:eastAsia="Calibri"/>
          <w:sz w:val="24"/>
          <w:szCs w:val="24"/>
          <w:u w:val="single"/>
        </w:rPr>
        <w:t>Шумских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2"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2"/>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rPr>
          <w:tblHeader/>
        </w:trPr>
        <w:tc>
          <w:tcPr>
            <w:tcW w:w="1838" w:type="dxa"/>
            <w:shd w:val="clear" w:color="auto" w:fill="auto"/>
            <w:vAlign w:val="center"/>
          </w:tcPr>
          <w:p w:rsidR="00F16A6C" w:rsidRPr="00F16A6C" w:rsidRDefault="00252726" w:rsidP="00A81774">
            <w:pPr>
              <w:widowControl w:val="0"/>
              <w:jc w:val="center"/>
              <w:rPr>
                <w:rFonts w:eastAsia="Calibri"/>
                <w:sz w:val="24"/>
                <w:szCs w:val="22"/>
              </w:rPr>
            </w:pPr>
            <w:r>
              <w:rPr>
                <w:rFonts w:eastAsia="Calibri"/>
                <w:sz w:val="24"/>
                <w:szCs w:val="22"/>
              </w:rPr>
              <w:t>Формируемые компетенции</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ОПК-2-В-1 Определяет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ОПК-2-В-2 Определяет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ОПК-2-В-3 На основе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lastRenderedPageBreak/>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ОПК-4-В-3 Дает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ОПК-4-В-4 Подготавливает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3" w:name="_Toc466124942"/>
    </w:p>
    <w:bookmarkEnd w:id="3"/>
    <w:p w:rsidR="00F16A6C" w:rsidRDefault="00F16A6C" w:rsidP="00F16A6C">
      <w:pPr>
        <w:ind w:firstLine="709"/>
        <w:jc w:val="both"/>
        <w:rPr>
          <w:b/>
          <w:sz w:val="24"/>
          <w:szCs w:val="24"/>
        </w:rPr>
      </w:pPr>
      <w:r w:rsidRPr="00F16A6C">
        <w:rPr>
          <w:b/>
          <w:sz w:val="24"/>
          <w:szCs w:val="24"/>
        </w:rPr>
        <w:lastRenderedPageBreak/>
        <w:t xml:space="preserve">Раздел 1 </w:t>
      </w:r>
      <w:r w:rsidR="00252726" w:rsidRPr="00252726">
        <w:rPr>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52726" w:rsidRPr="00F16A6C" w:rsidRDefault="00252726" w:rsidP="00F16A6C">
      <w:pPr>
        <w:ind w:firstLine="709"/>
        <w:jc w:val="both"/>
        <w:rPr>
          <w:b/>
          <w:sz w:val="24"/>
          <w:szCs w:val="24"/>
        </w:rPr>
      </w:pP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4"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В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У. Петти;</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Д. Рикардо;</w:t>
      </w:r>
    </w:p>
    <w:p w:rsidR="00BF07A5" w:rsidRPr="00BD0FE2" w:rsidRDefault="00BF07A5" w:rsidP="00BF07A5">
      <w:pPr>
        <w:pStyle w:val="af0"/>
        <w:numPr>
          <w:ilvl w:val="0"/>
          <w:numId w:val="15"/>
        </w:numPr>
        <w:tabs>
          <w:tab w:val="left" w:pos="1134"/>
        </w:tabs>
        <w:ind w:left="0" w:firstLine="709"/>
        <w:jc w:val="both"/>
      </w:pPr>
      <w:r w:rsidRPr="00BD0FE2">
        <w:t>Ж. Сэй.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lastRenderedPageBreak/>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безэквивалентность,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r w:rsidRPr="00BD0FE2">
        <w:rPr>
          <w:b/>
        </w:rPr>
        <w:t>возмездность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lastRenderedPageBreak/>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(возмездность),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1.29 В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lastRenderedPageBreak/>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lastRenderedPageBreak/>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В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lastRenderedPageBreak/>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lastRenderedPageBreak/>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налоговые органы имеют право действовать властнообязывающим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формы и форматы различных обязательных сообщений (заявлений, уведомлений и др).</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lastRenderedPageBreak/>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r w:rsidRPr="00BD0FE2">
        <w:rPr>
          <w:b/>
        </w:rPr>
        <w:t>подотраслью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налоговое право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В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 Взыскание налога, доначисленного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на обжалование, а т.ж.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.15 В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lastRenderedPageBreak/>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.22 В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.23 В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.24 В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lastRenderedPageBreak/>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lastRenderedPageBreak/>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.10 В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lastRenderedPageBreak/>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.14 В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.15 В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lastRenderedPageBreak/>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lastRenderedPageBreak/>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.27 В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.28 В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несущественное нарушение процедуры принятия решения по реузультатам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 В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lastRenderedPageBreak/>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lastRenderedPageBreak/>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r w:rsidRPr="00BD0FE2">
        <w:t>нерепрессивности;</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lastRenderedPageBreak/>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.26 С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действий и бездействия, выражающегося в неперечислении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законодательством субъекта Федерации и актами представительных оргнов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lastRenderedPageBreak/>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lastRenderedPageBreak/>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lastRenderedPageBreak/>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bookmarkEnd w:id="4"/>
    <w:p w:rsidR="00F16A6C" w:rsidRPr="00F16A6C" w:rsidRDefault="00F16A6C" w:rsidP="00F16A6C">
      <w:pPr>
        <w:ind w:firstLine="709"/>
        <w:jc w:val="both"/>
        <w:rPr>
          <w:b/>
          <w:sz w:val="24"/>
          <w:szCs w:val="24"/>
        </w:rPr>
      </w:pPr>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lastRenderedPageBreak/>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В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lastRenderedPageBreak/>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lastRenderedPageBreak/>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w:t>
      </w:r>
      <w:r w:rsidR="00BF6F09" w:rsidRPr="00BF6F09">
        <w:rPr>
          <w:sz w:val="24"/>
          <w:szCs w:val="24"/>
        </w:rPr>
        <w:lastRenderedPageBreak/>
        <w:t>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В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r w:rsidR="00BF6F09" w:rsidRPr="00BF6F09">
        <w:rPr>
          <w:sz w:val="24"/>
          <w:szCs w:val="24"/>
        </w:rPr>
        <w:t>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lastRenderedPageBreak/>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в органы ЗАГСа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lastRenderedPageBreak/>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В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В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уставу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Переваловой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«Рико-Пресс»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займ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займ.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руб..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«Проскол»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«Проскол»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«Колос »за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В городе Новочеркасске организация имеет на своём балансе два легковых автомобиля: «Мерседес-Бенц» с мощностью двигателя 360 л.с. и ГАЗ 3110 с мощностью 98 л.с.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руб,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«Тросат»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«Нером»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«Нером»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C3" w:rsidRDefault="005C7CC3" w:rsidP="005A0E63">
      <w:r>
        <w:separator/>
      </w:r>
    </w:p>
  </w:endnote>
  <w:endnote w:type="continuationSeparator" w:id="0">
    <w:p w:rsidR="005C7CC3" w:rsidRDefault="005C7CC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F16A6C" w:rsidRDefault="00F16A6C">
        <w:pPr>
          <w:pStyle w:val="ac"/>
          <w:jc w:val="center"/>
        </w:pPr>
        <w:r>
          <w:fldChar w:fldCharType="begin"/>
        </w:r>
        <w:r>
          <w:instrText xml:space="preserve"> PAGE   \* MERGEFORMAT </w:instrText>
        </w:r>
        <w:r>
          <w:fldChar w:fldCharType="separate"/>
        </w:r>
        <w:r w:rsidR="00600141">
          <w:rPr>
            <w:noProof/>
          </w:rPr>
          <w:t>44</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C3" w:rsidRDefault="005C7CC3" w:rsidP="005A0E63">
      <w:r>
        <w:separator/>
      </w:r>
    </w:p>
  </w:footnote>
  <w:footnote w:type="continuationSeparator" w:id="0">
    <w:p w:rsidR="005C7CC3" w:rsidRDefault="005C7CC3"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6DA1"/>
    <w:rsid w:val="00127DBA"/>
    <w:rsid w:val="00162CBC"/>
    <w:rsid w:val="001812E9"/>
    <w:rsid w:val="00184268"/>
    <w:rsid w:val="00185396"/>
    <w:rsid w:val="00185749"/>
    <w:rsid w:val="001A6AA2"/>
    <w:rsid w:val="00226949"/>
    <w:rsid w:val="00235334"/>
    <w:rsid w:val="00252726"/>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C7CC3"/>
    <w:rsid w:val="005E2CB0"/>
    <w:rsid w:val="005E3AE5"/>
    <w:rsid w:val="005E73C9"/>
    <w:rsid w:val="005F507A"/>
    <w:rsid w:val="005F5A0E"/>
    <w:rsid w:val="00600141"/>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706D"/>
    <w:rsid w:val="00A90A42"/>
    <w:rsid w:val="00AE330C"/>
    <w:rsid w:val="00AE58DB"/>
    <w:rsid w:val="00AE7179"/>
    <w:rsid w:val="00AF3BAC"/>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82C78"/>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65E5-835C-49EC-9CE5-45FA5D29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22418</Words>
  <Characters>127786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4</cp:revision>
  <cp:lastPrinted>2016-09-23T06:21:00Z</cp:lastPrinted>
  <dcterms:created xsi:type="dcterms:W3CDTF">2022-03-26T06:31:00Z</dcterms:created>
  <dcterms:modified xsi:type="dcterms:W3CDTF">2022-03-26T06:31:00Z</dcterms:modified>
</cp:coreProperties>
</file>