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 xml:space="preserve">Кафедра </w:t>
      </w:r>
      <w:r w:rsidR="001F52EE">
        <w:rPr>
          <w:rFonts w:eastAsia="Calibri"/>
          <w:sz w:val="28"/>
          <w:szCs w:val="28"/>
        </w:rPr>
        <w:t>юриспруденции</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681E15" w:rsidRDefault="00681E15" w:rsidP="00681E15">
      <w:pPr>
        <w:pStyle w:val="ReportHead"/>
        <w:suppressAutoHyphens/>
        <w:rPr>
          <w:i/>
          <w:szCs w:val="28"/>
          <w:u w:val="single"/>
        </w:rPr>
      </w:pPr>
      <w:r>
        <w:rPr>
          <w:i/>
          <w:szCs w:val="28"/>
          <w:u w:val="single"/>
        </w:rPr>
        <w:t>Очно-заочная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w:t>
      </w:r>
      <w:r w:rsidR="00155D3C">
        <w:rPr>
          <w:sz w:val="28"/>
          <w:szCs w:val="28"/>
        </w:rPr>
        <w:t>20</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1F52EE" w:rsidP="00D93D30">
      <w:pPr>
        <w:pStyle w:val="ReportHead"/>
        <w:tabs>
          <w:tab w:val="left" w:pos="10432"/>
        </w:tabs>
        <w:suppressAutoHyphens/>
        <w:jc w:val="left"/>
        <w:rPr>
          <w:szCs w:val="28"/>
          <w:u w:val="single"/>
        </w:rPr>
      </w:pPr>
      <w:r>
        <w:rPr>
          <w:szCs w:val="28"/>
          <w:u w:val="single"/>
        </w:rPr>
        <w:t>юриспруденции</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155D3C" w:rsidRDefault="00155D3C" w:rsidP="00155D3C">
      <w:pPr>
        <w:tabs>
          <w:tab w:val="left" w:pos="10432"/>
        </w:tabs>
        <w:suppressAutoHyphens/>
        <w:jc w:val="both"/>
        <w:rPr>
          <w:sz w:val="28"/>
          <w:szCs w:val="28"/>
        </w:rPr>
      </w:pPr>
      <w:r>
        <w:rPr>
          <w:sz w:val="28"/>
          <w:szCs w:val="28"/>
        </w:rPr>
        <w:t>протокол № 6 от "10" января 2020 г.</w:t>
      </w:r>
    </w:p>
    <w:p w:rsidR="00155D3C" w:rsidRDefault="00155D3C" w:rsidP="00155D3C">
      <w:pPr>
        <w:pStyle w:val="ReportHead"/>
        <w:tabs>
          <w:tab w:val="center" w:pos="6378"/>
          <w:tab w:val="left" w:pos="10432"/>
        </w:tabs>
        <w:suppressAutoHyphens/>
        <w:jc w:val="left"/>
        <w:rPr>
          <w:szCs w:val="28"/>
        </w:rPr>
      </w:pPr>
    </w:p>
    <w:p w:rsidR="00155D3C" w:rsidRDefault="00155D3C" w:rsidP="00155D3C">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w:t>
      </w:r>
      <w:bookmarkStart w:id="0" w:name="_GoBack"/>
      <w:bookmarkEnd w:id="0"/>
      <w:r>
        <w:rPr>
          <w:szCs w:val="28"/>
          <w:u w:val="single"/>
        </w:rPr>
        <w:t xml:space="preserve">   О.Н. Григорьева</w:t>
      </w:r>
    </w:p>
    <w:p w:rsidR="00155D3C" w:rsidRDefault="00155D3C" w:rsidP="00155D3C">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9"/>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1"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1"/>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2"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3" w:name="_Toc466136109"/>
      <w:bookmarkEnd w:id="2"/>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firstRow="1" w:lastRow="0" w:firstColumn="1" w:lastColumn="0" w:noHBand="0" w:noVBand="1"/>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3"/>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39" w:rsidRDefault="00433039" w:rsidP="005A0E63">
      <w:r>
        <w:separator/>
      </w:r>
    </w:p>
  </w:endnote>
  <w:endnote w:type="continuationSeparator" w:id="0">
    <w:p w:rsidR="00433039" w:rsidRDefault="00433039"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1B1ACB" w:rsidRDefault="00005347">
        <w:pPr>
          <w:pStyle w:val="ac"/>
          <w:jc w:val="center"/>
        </w:pPr>
        <w:r>
          <w:fldChar w:fldCharType="begin"/>
        </w:r>
        <w:r w:rsidR="001B1ACB">
          <w:instrText xml:space="preserve"> PAGE   \* MERGEFORMAT </w:instrText>
        </w:r>
        <w:r>
          <w:fldChar w:fldCharType="separate"/>
        </w:r>
        <w:r w:rsidR="00155D3C">
          <w:rPr>
            <w:noProof/>
          </w:rPr>
          <w:t>57</w:t>
        </w:r>
        <w:r>
          <w:rPr>
            <w:noProof/>
          </w:rPr>
          <w:fldChar w:fldCharType="end"/>
        </w:r>
      </w:p>
    </w:sdtContent>
  </w:sdt>
  <w:p w:rsidR="001B1ACB" w:rsidRDefault="001B1A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39" w:rsidRDefault="00433039" w:rsidP="005A0E63">
      <w:r>
        <w:separator/>
      </w:r>
    </w:p>
  </w:footnote>
  <w:footnote w:type="continuationSeparator" w:id="0">
    <w:p w:rsidR="00433039" w:rsidRDefault="00433039"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05347"/>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55D3C"/>
    <w:rsid w:val="0017155B"/>
    <w:rsid w:val="00171F5E"/>
    <w:rsid w:val="001769D8"/>
    <w:rsid w:val="001812E9"/>
    <w:rsid w:val="00185396"/>
    <w:rsid w:val="0019018B"/>
    <w:rsid w:val="001A1BBF"/>
    <w:rsid w:val="001A6AA2"/>
    <w:rsid w:val="001B1ACB"/>
    <w:rsid w:val="001B7931"/>
    <w:rsid w:val="001C0B4A"/>
    <w:rsid w:val="001D118D"/>
    <w:rsid w:val="001F10E7"/>
    <w:rsid w:val="001F52EE"/>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3039"/>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1E15"/>
    <w:rsid w:val="00684417"/>
    <w:rsid w:val="006954F7"/>
    <w:rsid w:val="006A4433"/>
    <w:rsid w:val="006A7928"/>
    <w:rsid w:val="006B7F3C"/>
    <w:rsid w:val="006C1C69"/>
    <w:rsid w:val="006C3991"/>
    <w:rsid w:val="006D0648"/>
    <w:rsid w:val="006D1048"/>
    <w:rsid w:val="006E0973"/>
    <w:rsid w:val="006E6719"/>
    <w:rsid w:val="00706E5B"/>
    <w:rsid w:val="00713893"/>
    <w:rsid w:val="00715948"/>
    <w:rsid w:val="00742463"/>
    <w:rsid w:val="007468AD"/>
    <w:rsid w:val="00747BB3"/>
    <w:rsid w:val="007520E7"/>
    <w:rsid w:val="00753D31"/>
    <w:rsid w:val="007748C4"/>
    <w:rsid w:val="007943AA"/>
    <w:rsid w:val="00794D23"/>
    <w:rsid w:val="00794EDF"/>
    <w:rsid w:val="007A7F46"/>
    <w:rsid w:val="007B2D18"/>
    <w:rsid w:val="007D61C4"/>
    <w:rsid w:val="007E5779"/>
    <w:rsid w:val="00800D63"/>
    <w:rsid w:val="008226D0"/>
    <w:rsid w:val="00843D1A"/>
    <w:rsid w:val="00853641"/>
    <w:rsid w:val="0086227A"/>
    <w:rsid w:val="00891D5E"/>
    <w:rsid w:val="008957C2"/>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85468"/>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1A3"/>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BF5917"/>
    <w:rsid w:val="00C116BD"/>
    <w:rsid w:val="00C20FA3"/>
    <w:rsid w:val="00C226AF"/>
    <w:rsid w:val="00C34149"/>
    <w:rsid w:val="00C341A9"/>
    <w:rsid w:val="00C573CD"/>
    <w:rsid w:val="00C928D5"/>
    <w:rsid w:val="00C95E9F"/>
    <w:rsid w:val="00C978C1"/>
    <w:rsid w:val="00CB7162"/>
    <w:rsid w:val="00CD1462"/>
    <w:rsid w:val="00D12264"/>
    <w:rsid w:val="00D16CD6"/>
    <w:rsid w:val="00D275E6"/>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08A9"/>
    <w:rsid w:val="00FC1811"/>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15418961">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5623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07D1-9465-4976-B4A1-545089C5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19271</Words>
  <Characters>109845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2019-02-23T18:07:00Z</cp:lastPrinted>
  <dcterms:created xsi:type="dcterms:W3CDTF">2019-12-01T18:43:00Z</dcterms:created>
  <dcterms:modified xsi:type="dcterms:W3CDTF">2020-01-27T04:42:00Z</dcterms:modified>
</cp:coreProperties>
</file>