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0C20D9"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 xml:space="preserve">Заочная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EC44F0">
        <w:rPr>
          <w:rFonts w:ascii="Times New Roman" w:eastAsia="Arial Unicode MS" w:hAnsi="Times New Roman" w:cs="Times New Roman"/>
          <w:sz w:val="28"/>
          <w:szCs w:val="24"/>
          <w:lang w:eastAsia="ru-RU"/>
        </w:rPr>
        <w:t>2018</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EC44F0">
        <w:rPr>
          <w:rFonts w:ascii="Times New Roman" w:eastAsia="Calibri" w:hAnsi="Times New Roman" w:cs="Times New Roman"/>
          <w:sz w:val="28"/>
          <w:szCs w:val="28"/>
        </w:rPr>
        <w:t>2018</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EC44F0">
        <w:rPr>
          <w:rFonts w:ascii="Times New Roman" w:eastAsia="Calibri" w:hAnsi="Times New Roman" w:cs="Times New Roman"/>
          <w:sz w:val="28"/>
          <w:szCs w:val="28"/>
        </w:rPr>
        <w:t>Е.В. Фролова</w:t>
      </w:r>
      <w:bookmarkStart w:id="0" w:name="_GoBack"/>
      <w:bookmarkEnd w:id="0"/>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строительного техногенеза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Одум</w:t>
      </w:r>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К. Ф. Рулье.</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саморегуляцией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агроценозе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закон оптимума (толерантности, Шелфорда);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закон Гаузе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лимитирующего фактора Шелфорда.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 какой средой связан паразитический и полупаразитический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Гомойотермность (теплокровность)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(демэкология)</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4) авторегуляцией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входящую в состав пищевой цепи выедания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3) консументы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консументы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4) консументы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детритные;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выедания;</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Растительный опад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пи является детритофагом:</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растительный опад;</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Растения — тля — синица — ястреб. Укажите, какой из организмов в этой пищевой цепи является консументом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Растение — полевая мышь — ястреб — бактерии. Укажите, какой из организмов в пищевой цепи является консументом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Желудь — белка — рысь — бактерии. Укажите, какой из организмов в этой пищевой цепи является редуцентом:</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(Шелфорда);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(Гаузе);</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(Линдемана)?</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(Шелфорда);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(Гаузе);</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(Тинемана).</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4) биокосным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окислительно-восстановительным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К невозобновимым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профилактичность.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историзм, системность, воспитательность;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замутняют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переотложение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Бактерий-сапротрофов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создания стерильной среды в агроценозах;</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невозобновляемым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C44F0">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EC44F0">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C44F0">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C44F0">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EC44F0">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C44F0">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EC44F0">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EC44F0">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EC44F0">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C44F0">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EC44F0">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lang w:eastAsia="ru-RU"/>
        </w:rPr>
      </w:r>
      <w:r w:rsidR="00EC44F0">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C44F0">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EC44F0">
        <w:rPr>
          <w:rFonts w:ascii="Times New Roman" w:eastAsia="Times New Roman" w:hAnsi="Times New Roman" w:cs="Times New Roman"/>
          <w:noProof/>
          <w:sz w:val="28"/>
          <w:szCs w:val="28"/>
          <w:vertAlign w:val="subscript"/>
          <w:lang w:eastAsia="ru-RU"/>
        </w:rPr>
      </w:r>
      <w:r w:rsidR="00EC44F0">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 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геоценоз</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 флокуляция,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барботажный,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поверхностный,  барботажный,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барботажный,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FeCl</w:t>
      </w:r>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флокуляция,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флокуляция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содержание ненрастворенных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прибор Снеллена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прибор Ребиндера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высокая хемостойсость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аэротенк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аэротенк,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флотатор,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 аэротенк</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доломит, полилакриламид,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Земноводно-охотничьими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По Н.Ф. Реймеру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r w:rsidR="005F4154" w:rsidRPr="00903751">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экологизации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импактный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r w:rsidR="005F4154" w:rsidRPr="00903751">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r w:rsidR="005F4154" w:rsidRPr="00903751">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биоаккумулирования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биоиндикации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коэволюции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Рулье (1814— 1858), Н.А. Северцов (1827—1885), В.В. Докучаев (1846— 1903), Ю. Одум (1975), К. Мёбиус (1877) Ч. Дарвин (1809—1882)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(демэкология)</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саморегуляции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саморегуляции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 xml:space="preserve">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муха-журчалка.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в) растения – листовой опад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Постройте пирамиды биомассы озера в зимний и весенний период по данным таблицы (по Грину, Стауту,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окислительно-восстановительная, средообразующая,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консументов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редуцентами?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консументов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редуцентами;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консументов;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аммонифицирующих редуцентов;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тиобациллами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исчерпаемости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341555" w:rsidRPr="00341555">
        <w:rPr>
          <w:rFonts w:ascii="Times New Roman" w:eastAsia="Times New Roman" w:hAnsi="Times New Roman" w:cs="Times New Roman"/>
          <w:b/>
          <w:sz w:val="28"/>
          <w:szCs w:val="28"/>
        </w:rPr>
        <w:t>Демэкология.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ГИПРОЗЕМы</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Статотчетность</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Трифторметан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Дифторхлорметан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Дихлордифторметан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размножаются редуценты и сапротрофы; В) Чем выше численность редуцентов и сапротрофов, тем сильнее размножаются кроты и землеройки, являющихся консументами. 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Агроэкосистемы и урбоэкосистемы.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Потоки вещества и энергии в экосистемах. Пищевые цепи, трофические уровни. Пастбищная и детритная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экосистемы (А. Тенсли)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Функциональные блоки организмов в экосистеме: продуценты, консументы и редуценты.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 Экологические сукцессии. Первичные и вторичные сукцессии. Климаксовые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(Ле-Шателье, К.Бэра, Либиха, Коммонера, Одума, Шелфорда,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взаимополезных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Характеристика полезно-нейтральных и взаимовредных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Внутривидовые отношения. Краткая характеристика конкуренции, альтруизма, внутривидового экто- и эндопаразитизма.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Трофические, топические, форические и фабрические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электромагнитных полей и излучений. Загрязнение от ракетнокосмической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Богеохимические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экосистемы ( сельскохозяйственные, индустриальногородские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5. и т.д</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Незачтено</w:t>
            </w:r>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E6BF1" w:rsidRDefault="00FE6BF1" w:rsidP="00FE6BF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A65A0"/>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96737"/>
    <w:rsid w:val="00BA0497"/>
    <w:rsid w:val="00BA14F7"/>
    <w:rsid w:val="00BD6456"/>
    <w:rsid w:val="00C8328D"/>
    <w:rsid w:val="00C94423"/>
    <w:rsid w:val="00CA4FBD"/>
    <w:rsid w:val="00D01D4E"/>
    <w:rsid w:val="00D37E1D"/>
    <w:rsid w:val="00D46FF3"/>
    <w:rsid w:val="00D96551"/>
    <w:rsid w:val="00DC0DA8"/>
    <w:rsid w:val="00E82817"/>
    <w:rsid w:val="00E86FA9"/>
    <w:rsid w:val="00EC44F0"/>
    <w:rsid w:val="00F17419"/>
    <w:rsid w:val="00F53711"/>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15775671">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4603-863A-45B0-A920-B86D055E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126</Pages>
  <Words>21536</Words>
  <Characters>122760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29</cp:revision>
  <cp:lastPrinted>2019-11-11T11:05:00Z</cp:lastPrinted>
  <dcterms:created xsi:type="dcterms:W3CDTF">2016-10-04T06:26:00Z</dcterms:created>
  <dcterms:modified xsi:type="dcterms:W3CDTF">2019-11-21T04:59:00Z</dcterms:modified>
</cp:coreProperties>
</file>