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B97846">
        <w:rPr>
          <w:b/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E315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E3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3158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B97846" w:rsidRPr="00B97846">
        <w:rPr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самостоятельной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</w:t>
      </w:r>
      <w:r w:rsidR="008D7778">
        <w:rPr>
          <w:sz w:val="28"/>
          <w:szCs w:val="28"/>
        </w:rPr>
        <w:t>т</w:t>
      </w:r>
      <w:r w:rsidR="008D7778">
        <w:rPr>
          <w:sz w:val="28"/>
          <w:szCs w:val="28"/>
        </w:rPr>
        <w:t>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97846">
        <w:rPr>
          <w:rFonts w:ascii="Times New Roman" w:eastAsia="Times New Roman" w:hAnsi="Times New Roman"/>
          <w:sz w:val="28"/>
          <w:szCs w:val="28"/>
        </w:rPr>
        <w:t>Развитие профе</w:t>
      </w:r>
      <w:r w:rsidR="00B97846">
        <w:rPr>
          <w:rFonts w:ascii="Times New Roman" w:eastAsia="Times New Roman" w:hAnsi="Times New Roman"/>
          <w:sz w:val="28"/>
          <w:szCs w:val="28"/>
        </w:rPr>
        <w:t>с</w:t>
      </w:r>
      <w:r w:rsidR="00B97846">
        <w:rPr>
          <w:rFonts w:ascii="Times New Roman" w:eastAsia="Times New Roman" w:hAnsi="Times New Roman"/>
          <w:sz w:val="28"/>
          <w:szCs w:val="28"/>
        </w:rPr>
        <w:t>сионально-педагогического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3158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3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категории, положения и термины теоретических и практических основ современных систем воспитания  обучающихся в соответствии с ценностями  духовно-нравственной культуры и  гражданственности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учитывать индивидуальные потребности </w:t>
            </w:r>
            <w:proofErr w:type="gramStart"/>
            <w:r>
              <w:rPr>
                <w:rFonts w:eastAsia="Times New Roman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</w:rPr>
              <w:t xml:space="preserve"> в процессе  формирования  воспитания и духовно-нравственного развития; грамотно и методически правильно выстраивать процесс воспитания и образования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теоретическими, методическими, практическими основами современных воспитательных технологий  в формирован</w:t>
            </w:r>
            <w:proofErr w:type="gramStart"/>
            <w:r>
              <w:rPr>
                <w:rFonts w:eastAsia="Times New Roman"/>
                <w:szCs w:val="24"/>
              </w:rPr>
              <w:t>ии  у  о</w:t>
            </w:r>
            <w:proofErr w:type="gramEnd"/>
            <w:r>
              <w:rPr>
                <w:rFonts w:eastAsia="Times New Roman"/>
                <w:szCs w:val="24"/>
              </w:rPr>
              <w:t>бучающихся  духовных,  нравственных ценностей и гражданственности; профессиональными умениями личностно-развивающих и гуманистических взаимодействий педагогических работников и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исследовательских,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исследовательских,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ПК-12 готовность  к  участию  в  исследованиях  проблем,  возникающих  в процессе  подготовки  рабочих,  сл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жащих  и  специалистов  среднего 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1566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734"/>
        <w:gridCol w:w="1416"/>
        <w:gridCol w:w="1416"/>
      </w:tblGrid>
      <w:tr w:rsidR="00E14856" w:rsidTr="008535C4">
        <w:trPr>
          <w:tblHeader/>
          <w:jc w:val="center"/>
        </w:trPr>
        <w:tc>
          <w:tcPr>
            <w:tcW w:w="8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14856" w:rsidTr="008535C4">
        <w:trPr>
          <w:tblHeader/>
          <w:jc w:val="center"/>
        </w:trPr>
        <w:tc>
          <w:tcPr>
            <w:tcW w:w="8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</w:rPr>
              <w:t>КонтрР</w:t>
            </w:r>
            <w:proofErr w:type="spellEnd"/>
            <w:r>
              <w:rPr>
                <w:rFonts w:eastAsia="Times New Roman"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14856" w:rsidRDefault="00E14856" w:rsidP="00E14856">
      <w:pPr>
        <w:pStyle w:val="ReportMain"/>
        <w:suppressAutoHyphens/>
        <w:ind w:firstLine="709"/>
        <w:jc w:val="both"/>
        <w:rPr>
          <w:szCs w:val="20"/>
        </w:rPr>
      </w:pPr>
    </w:p>
    <w:p w:rsidR="00E14856" w:rsidRDefault="00E14856" w:rsidP="00E14856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pPr w:leftFromText="180" w:rightFromText="180" w:vertAnchor="text" w:horzAnchor="margin" w:tblpXSpec="center" w:tblpY="14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14856" w:rsidTr="00E1485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феномен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научно-педагогическая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</w:tbl>
    <w:p w:rsidR="00E14856" w:rsidRDefault="00E14856" w:rsidP="00E14856">
      <w:pPr>
        <w:pStyle w:val="ReportMain"/>
        <w:keepNext/>
        <w:suppressAutoHyphens/>
        <w:ind w:firstLine="709"/>
        <w:jc w:val="both"/>
      </w:pPr>
    </w:p>
    <w:p w:rsidR="00E14856" w:rsidRDefault="00E14856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lastRenderedPageBreak/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901E1C">
        <w:rPr>
          <w:rFonts w:ascii="Times New Roman" w:hAnsi="Times New Roman" w:cs="Times New Roman"/>
          <w:sz w:val="28"/>
          <w:szCs w:val="28"/>
        </w:rPr>
        <w:t>«Развитие профессионально-педагогического интереса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>
        <w:rPr>
          <w:rFonts w:ascii="Times New Roman" w:hAnsi="Times New Roman" w:cs="Times New Roman"/>
          <w:sz w:val="28"/>
          <w:szCs w:val="28"/>
        </w:rPr>
        <w:t>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«Развитие професси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нально-педагогического интереса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F10155" w:rsidRDefault="00F10155" w:rsidP="00F1015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10155" w:rsidTr="00F1015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Феномен понятия «интерес» в философии, психологии, педагогике: изыскания Г.Гегеля, </w:t>
            </w:r>
            <w:proofErr w:type="spellStart"/>
            <w:r>
              <w:rPr>
                <w:rFonts w:eastAsia="Times New Roman"/>
              </w:rPr>
              <w:t>И.Гербарта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А.Дистервега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keepNext/>
              <w:suppressAutoHyphens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видов интереса.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8535C4" w:rsidRPr="008535C4">
        <w:rPr>
          <w:rFonts w:eastAsia="Times New Roman"/>
        </w:rPr>
        <w:t xml:space="preserve"> </w:t>
      </w:r>
      <w:r w:rsidR="008535C4">
        <w:rPr>
          <w:rFonts w:eastAsia="Times New Roman"/>
        </w:rPr>
        <w:t>Феномен понятия «интерес» в философии, психологии, педагогике: изыск</w:t>
      </w:r>
      <w:r w:rsidR="008535C4">
        <w:rPr>
          <w:rFonts w:eastAsia="Times New Roman"/>
        </w:rPr>
        <w:t>а</w:t>
      </w:r>
      <w:r w:rsidR="008535C4">
        <w:rPr>
          <w:rFonts w:eastAsia="Times New Roman"/>
        </w:rPr>
        <w:t xml:space="preserve">ния Г.Гегеля,  </w:t>
      </w:r>
      <w:proofErr w:type="spellStart"/>
      <w:r w:rsidR="008535C4">
        <w:rPr>
          <w:rFonts w:eastAsia="Times New Roman"/>
        </w:rPr>
        <w:t>И.Гербарта</w:t>
      </w:r>
      <w:proofErr w:type="spellEnd"/>
      <w:r w:rsidR="008535C4">
        <w:rPr>
          <w:rFonts w:eastAsia="Times New Roman"/>
        </w:rPr>
        <w:t xml:space="preserve">, </w:t>
      </w:r>
      <w:proofErr w:type="spellStart"/>
      <w:r w:rsidR="008535C4">
        <w:rPr>
          <w:rFonts w:eastAsia="Times New Roman"/>
        </w:rPr>
        <w:t>А.Дистервега</w:t>
      </w:r>
      <w:proofErr w:type="spellEnd"/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</w:p>
    <w:p w:rsidR="00B73DEC" w:rsidRPr="00581684" w:rsidRDefault="00B73DE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581684">
        <w:rPr>
          <w:rFonts w:ascii="Calibri" w:eastAsia="Times New Roman" w:hAnsi="Calibri"/>
        </w:rPr>
        <w:t>Человек</w:t>
      </w:r>
      <w:r w:rsidR="00581684">
        <w:rPr>
          <w:rFonts w:ascii="Calibri" w:eastAsia="Times New Roman" w:hAnsi="Calibri"/>
        </w:rPr>
        <w:t xml:space="preserve"> как продукт истории и культуры, как творец и созидатель в изысканиях Г.Гегеля. Обучение и воспитание как единый процесс, формирующий нравственного ч</w:t>
      </w:r>
      <w:r w:rsidR="00581684">
        <w:rPr>
          <w:rFonts w:ascii="Calibri" w:eastAsia="Times New Roman" w:hAnsi="Calibri"/>
        </w:rPr>
        <w:t>е</w:t>
      </w:r>
      <w:r w:rsidR="00581684">
        <w:rPr>
          <w:rFonts w:ascii="Calibri" w:eastAsia="Times New Roman" w:hAnsi="Calibri"/>
        </w:rPr>
        <w:t xml:space="preserve">ловека в изысканиях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581684">
        <w:rPr>
          <w:rFonts w:ascii="Calibri" w:eastAsia="Times New Roman" w:hAnsi="Calibri"/>
        </w:rPr>
        <w:t>. Роль интереса в этом процессе. Связь педагогики с ф</w:t>
      </w:r>
      <w:r w:rsidR="00581684">
        <w:rPr>
          <w:rFonts w:ascii="Calibri" w:eastAsia="Times New Roman" w:hAnsi="Calibri"/>
        </w:rPr>
        <w:t>и</w:t>
      </w:r>
      <w:r w:rsidR="00581684">
        <w:rPr>
          <w:rFonts w:ascii="Calibri" w:eastAsia="Times New Roman" w:hAnsi="Calibri"/>
        </w:rPr>
        <w:t xml:space="preserve">лософией, этикой, психологией в трудах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</w:t>
      </w:r>
      <w:r w:rsidR="004751C1">
        <w:rPr>
          <w:rFonts w:ascii="Calibri" w:eastAsia="Times New Roman" w:hAnsi="Calibri"/>
        </w:rPr>
        <w:t>з</w:t>
      </w:r>
      <w:r w:rsidR="004751C1">
        <w:rPr>
          <w:rFonts w:ascii="Calibri" w:eastAsia="Times New Roman" w:hAnsi="Calibri"/>
        </w:rPr>
        <w:t>ность</w:t>
      </w:r>
      <w:proofErr w:type="spellEnd"/>
      <w:r w:rsidR="004751C1">
        <w:rPr>
          <w:rFonts w:ascii="Calibri" w:eastAsia="Times New Roman" w:hAnsi="Calibri"/>
        </w:rPr>
        <w:t>, самодеятельность.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</w:t>
      </w:r>
      <w:r>
        <w:rPr>
          <w:szCs w:val="24"/>
        </w:rPr>
        <w:lastRenderedPageBreak/>
        <w:t>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2,ПК-6,ПК-12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E13680" w:rsidRPr="00E13680">
        <w:rPr>
          <w:rFonts w:eastAsia="Times New Roman"/>
        </w:rPr>
        <w:t xml:space="preserve"> </w:t>
      </w:r>
      <w:r w:rsidR="00E13680">
        <w:rPr>
          <w:rFonts w:eastAsia="Times New Roman"/>
        </w:rPr>
        <w:t>Классификация видов интереса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13680" w:rsidRPr="00E13680" w:rsidRDefault="00E13680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13680">
        <w:rPr>
          <w:rFonts w:ascii="Calibri" w:eastAsia="Times New Roman" w:hAnsi="Calibri"/>
        </w:rPr>
        <w:t>Интерес как</w:t>
      </w:r>
      <w:r>
        <w:rPr>
          <w:rFonts w:ascii="Calibri" w:eastAsia="Times New Roman" w:hAnsi="Calibri"/>
        </w:rPr>
        <w:t xml:space="preserve"> отношение субъекта к явлениям или предметам. </w:t>
      </w:r>
      <w:proofErr w:type="gramStart"/>
      <w:r>
        <w:rPr>
          <w:rFonts w:ascii="Calibri" w:eastAsia="Times New Roman" w:hAnsi="Calibri"/>
        </w:rPr>
        <w:t>Социальная сфера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тересов: классовые, групповые, общенациональные, индивидуальные;</w:t>
      </w:r>
      <w:r w:rsidR="008A2E26">
        <w:rPr>
          <w:rFonts w:ascii="Calibri" w:eastAsia="Times New Roman" w:hAnsi="Calibri"/>
        </w:rPr>
        <w:t xml:space="preserve"> сфера обществе</w:t>
      </w:r>
      <w:r w:rsidR="008A2E26">
        <w:rPr>
          <w:rFonts w:ascii="Calibri" w:eastAsia="Times New Roman" w:hAnsi="Calibri"/>
        </w:rPr>
        <w:t>н</w:t>
      </w:r>
      <w:r w:rsidR="008A2E26">
        <w:rPr>
          <w:rFonts w:ascii="Calibri" w:eastAsia="Times New Roman" w:hAnsi="Calibri"/>
        </w:rPr>
        <w:t>ной жизни: духовные, экономические, политические; сфера отражения: абстрактные, ст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>хийные, реальные, минимальные, осознанные; сфера тенденций общественного разв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 xml:space="preserve">тия: реакционные, прогрессивные, консервативные </w:t>
      </w:r>
      <w:proofErr w:type="gramEnd"/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8A2E26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ПК-6,12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8A2E26">
        <w:rPr>
          <w:rFonts w:eastAsia="Times New Roman"/>
        </w:rPr>
        <w:t>Структура, критерии, уровни развития профессионально-педагогического интереса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</w:t>
      </w:r>
      <w:proofErr w:type="gramStart"/>
      <w:r>
        <w:rPr>
          <w:rFonts w:ascii="Calibri" w:eastAsia="Times New Roman" w:hAnsi="Calibri"/>
        </w:rPr>
        <w:t>.</w:t>
      </w:r>
      <w:proofErr w:type="gram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у</w:t>
      </w:r>
      <w:proofErr w:type="gramEnd"/>
      <w:r>
        <w:rPr>
          <w:rFonts w:ascii="Calibri" w:eastAsia="Times New Roman" w:hAnsi="Calibri"/>
        </w:rPr>
        <w:t>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proofErr w:type="gramStart"/>
      <w:r>
        <w:t xml:space="preserve">( </w:t>
      </w:r>
      <w:proofErr w:type="gramEnd"/>
      <w:r>
        <w:t>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t>Отрабатывается формирование компетенций: ПК-2,6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 xml:space="preserve">: </w:t>
      </w:r>
      <w:r w:rsidR="008C0DDA">
        <w:rPr>
          <w:rFonts w:eastAsia="Times New Roman"/>
        </w:rPr>
        <w:t>Диагностика уровня развития профессионально-педагогического интереса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интереса. Высокий уровень активности и формирования интер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са: увлеченность, сосредоточенность, положительные эмоции. Средний уровень развития интереса: избирательное проявления интереса, которые активизируются при стимуляции </w:t>
      </w:r>
      <w:proofErr w:type="gramStart"/>
      <w:r>
        <w:rPr>
          <w:rFonts w:ascii="Calibri" w:eastAsia="Times New Roman" w:hAnsi="Calibri"/>
        </w:rPr>
        <w:t>обучающего</w:t>
      </w:r>
      <w:proofErr w:type="gramEnd"/>
      <w:r>
        <w:rPr>
          <w:rFonts w:ascii="Calibri" w:eastAsia="Times New Roman" w:hAnsi="Calibri"/>
        </w:rPr>
        <w:t xml:space="preserve"> то есть учителя. Низкий уровень развития интереса:  обучающий самосто</w:t>
      </w:r>
      <w:r>
        <w:rPr>
          <w:rFonts w:ascii="Calibri" w:eastAsia="Times New Roman" w:hAnsi="Calibri"/>
        </w:rPr>
        <w:t>я</w:t>
      </w:r>
      <w:r>
        <w:rPr>
          <w:rFonts w:ascii="Calibri" w:eastAsia="Times New Roman" w:hAnsi="Calibri"/>
        </w:rPr>
        <w:lastRenderedPageBreak/>
        <w:t>тельно не может включиться в процесс, отвлекается, интерес к процессу проявляет фра</w:t>
      </w:r>
      <w:r>
        <w:rPr>
          <w:rFonts w:ascii="Calibri" w:eastAsia="Times New Roman" w:hAnsi="Calibri"/>
        </w:rPr>
        <w:t>г</w:t>
      </w:r>
      <w:r>
        <w:rPr>
          <w:rFonts w:ascii="Calibri" w:eastAsia="Times New Roman" w:hAnsi="Calibri"/>
        </w:rPr>
        <w:t>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Формируются компетенции: ПК-2,6,12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6D" w:rsidRDefault="00022E6D" w:rsidP="00817BE6">
      <w:pPr>
        <w:spacing w:after="0" w:line="240" w:lineRule="auto"/>
      </w:pPr>
      <w:r>
        <w:separator/>
      </w:r>
    </w:p>
  </w:endnote>
  <w:end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2E6D" w:rsidRDefault="005A2F0D">
        <w:pPr>
          <w:pStyle w:val="a7"/>
          <w:jc w:val="center"/>
        </w:pPr>
        <w:fldSimple w:instr="PAGE   \* MERGEFORMAT">
          <w:r w:rsidR="00E3158B">
            <w:rPr>
              <w:noProof/>
            </w:rPr>
            <w:t>6</w:t>
          </w:r>
        </w:fldSimple>
      </w:p>
    </w:sdtContent>
  </w:sdt>
  <w:p w:rsidR="00022E6D" w:rsidRDefault="00022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6D" w:rsidRDefault="00022E6D" w:rsidP="00817BE6">
      <w:pPr>
        <w:spacing w:after="0" w:line="240" w:lineRule="auto"/>
      </w:pPr>
      <w:r>
        <w:separator/>
      </w:r>
    </w:p>
  </w:footnote>
  <w:foot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CF9"/>
    <w:rsid w:val="00372F64"/>
    <w:rsid w:val="00383876"/>
    <w:rsid w:val="00387003"/>
    <w:rsid w:val="003A1DA9"/>
    <w:rsid w:val="003D0ACA"/>
    <w:rsid w:val="003D0E60"/>
    <w:rsid w:val="003D2372"/>
    <w:rsid w:val="003E1CEC"/>
    <w:rsid w:val="003E5D3B"/>
    <w:rsid w:val="003F4EDA"/>
    <w:rsid w:val="003F57C0"/>
    <w:rsid w:val="00400ABA"/>
    <w:rsid w:val="004037EE"/>
    <w:rsid w:val="00416F64"/>
    <w:rsid w:val="00464917"/>
    <w:rsid w:val="00467420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364C3"/>
    <w:rsid w:val="005612A7"/>
    <w:rsid w:val="005655FF"/>
    <w:rsid w:val="00572EE0"/>
    <w:rsid w:val="00576053"/>
    <w:rsid w:val="00577215"/>
    <w:rsid w:val="00581684"/>
    <w:rsid w:val="005A1AE2"/>
    <w:rsid w:val="005A2F0D"/>
    <w:rsid w:val="005B4732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52328"/>
    <w:rsid w:val="008535C4"/>
    <w:rsid w:val="00854A03"/>
    <w:rsid w:val="00857964"/>
    <w:rsid w:val="008612F5"/>
    <w:rsid w:val="00875FD6"/>
    <w:rsid w:val="00886614"/>
    <w:rsid w:val="00891CFA"/>
    <w:rsid w:val="008940B0"/>
    <w:rsid w:val="008960B2"/>
    <w:rsid w:val="008A2E26"/>
    <w:rsid w:val="008C080B"/>
    <w:rsid w:val="008C0DDA"/>
    <w:rsid w:val="008D7778"/>
    <w:rsid w:val="008E1038"/>
    <w:rsid w:val="008F493E"/>
    <w:rsid w:val="009001C2"/>
    <w:rsid w:val="00901795"/>
    <w:rsid w:val="00901E1C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16A5"/>
    <w:rsid w:val="00E13680"/>
    <w:rsid w:val="00E143A0"/>
    <w:rsid w:val="00E14856"/>
    <w:rsid w:val="00E2244A"/>
    <w:rsid w:val="00E3158B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0155"/>
    <w:rsid w:val="00F14392"/>
    <w:rsid w:val="00F1559F"/>
    <w:rsid w:val="00F26E9B"/>
    <w:rsid w:val="00F46FAD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393C-BD9B-4662-B459-5DED2295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26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2019-12-07T07:47:00Z</dcterms:modified>
</cp:coreProperties>
</file>