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w:t>
      </w:r>
      <w:r w:rsidR="00A348C5">
        <w:rPr>
          <w:szCs w:val="28"/>
        </w:rPr>
        <w:t xml:space="preserve"> профессионального</w:t>
      </w:r>
      <w:r w:rsidRPr="001F5284">
        <w:rPr>
          <w:szCs w:val="28"/>
        </w:rPr>
        <w:t xml:space="preserve">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bookmarkStart w:id="0" w:name="_GoBack"/>
      <w:bookmarkEnd w:id="0"/>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794F4C" w:rsidRDefault="00794F4C" w:rsidP="00794F4C">
      <w:pPr>
        <w:pStyle w:val="ReportHead0"/>
        <w:suppressAutoHyphens/>
        <w:ind w:firstLine="709"/>
        <w:rPr>
          <w:i/>
          <w:szCs w:val="28"/>
        </w:rPr>
      </w:pPr>
      <w:r w:rsidRPr="00294DF3">
        <w:rPr>
          <w:i/>
          <w:szCs w:val="28"/>
        </w:rPr>
        <w:t>«Б.1.</w:t>
      </w:r>
      <w:r w:rsidR="00CF7108">
        <w:rPr>
          <w:i/>
          <w:szCs w:val="28"/>
        </w:rPr>
        <w:t>В.ДВ</w:t>
      </w:r>
      <w:r>
        <w:rPr>
          <w:i/>
          <w:szCs w:val="28"/>
        </w:rPr>
        <w:t>.8</w:t>
      </w:r>
      <w:r w:rsidR="00CF7108">
        <w:rPr>
          <w:i/>
          <w:szCs w:val="28"/>
        </w:rPr>
        <w:t>.1</w:t>
      </w:r>
      <w:r w:rsidRPr="00294DF3">
        <w:rPr>
          <w:i/>
          <w:szCs w:val="28"/>
        </w:rPr>
        <w:t xml:space="preserve"> </w:t>
      </w:r>
      <w:r w:rsidR="00CF7108">
        <w:rPr>
          <w:i/>
          <w:szCs w:val="28"/>
        </w:rPr>
        <w:t>Оценка стоимости бизнеса</w:t>
      </w:r>
      <w:r w:rsidRPr="00294DF3">
        <w:rPr>
          <w:i/>
          <w:szCs w:val="28"/>
        </w:rPr>
        <w:t>»</w:t>
      </w: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D7725A" w:rsidP="00794F4C">
      <w:pPr>
        <w:pStyle w:val="ReportHead0"/>
        <w:suppressAutoHyphens/>
        <w:ind w:firstLine="709"/>
        <w:rPr>
          <w:i/>
          <w:szCs w:val="28"/>
          <w:u w:val="single"/>
        </w:rPr>
      </w:pPr>
      <w:r>
        <w:rPr>
          <w:i/>
          <w:szCs w:val="28"/>
          <w:u w:val="single"/>
        </w:rPr>
        <w:t>Зао</w:t>
      </w:r>
      <w:r w:rsidR="00794F4C">
        <w:rPr>
          <w:i/>
          <w:szCs w:val="28"/>
          <w:u w:val="single"/>
        </w:rPr>
        <w:t>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A348C5" w:rsidP="00794F4C">
      <w:pPr>
        <w:suppressAutoHyphens/>
        <w:jc w:val="center"/>
        <w:rPr>
          <w:szCs w:val="22"/>
          <w:lang w:eastAsia="en-US"/>
        </w:rPr>
      </w:pPr>
      <w:r>
        <w:rPr>
          <w:szCs w:val="22"/>
          <w:lang w:eastAsia="en-US"/>
        </w:rPr>
        <w:t>Год набора 2015</w:t>
      </w:r>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041759">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041759">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041759">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041759">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041759" w:rsidRDefault="00041759" w:rsidP="00041759">
      <w:pPr>
        <w:keepNext/>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освоении дисциплины предусматриваются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 </w:t>
      </w:r>
    </w:p>
    <w:p w:rsidR="00BA018C" w:rsidRDefault="00BA018C" w:rsidP="00041759">
      <w:pPr>
        <w:autoSpaceDE w:val="0"/>
        <w:autoSpaceDN w:val="0"/>
        <w:adjustRightInd w:val="0"/>
        <w:ind w:firstLine="709"/>
        <w:jc w:val="both"/>
        <w:rPr>
          <w:rFonts w:eastAsiaTheme="minorHAnsi"/>
          <w:noProof w:val="0"/>
          <w:sz w:val="28"/>
          <w:szCs w:val="28"/>
          <w:lang w:eastAsia="en-US"/>
        </w:rPr>
      </w:pPr>
    </w:p>
    <w:p w:rsidR="00BA018C" w:rsidRDefault="00BA018C" w:rsidP="00041759">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041759">
      <w:pPr>
        <w:autoSpaceDE w:val="0"/>
        <w:autoSpaceDN w:val="0"/>
        <w:adjustRightInd w:val="0"/>
        <w:ind w:firstLine="709"/>
        <w:jc w:val="both"/>
        <w:rPr>
          <w:rFonts w:eastAsiaTheme="minorHAnsi"/>
          <w:noProof w:val="0"/>
          <w:sz w:val="28"/>
          <w:szCs w:val="28"/>
          <w:lang w:eastAsia="en-US"/>
        </w:rPr>
      </w:pP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041759" w:rsidRDefault="00041759" w:rsidP="00041759">
      <w:pPr>
        <w:keepNext/>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 выполнение индивидуального творческого здания;</w:t>
      </w:r>
    </w:p>
    <w:p w:rsidR="00041759" w:rsidRDefault="00041759" w:rsidP="00041759">
      <w:pPr>
        <w:keepNext/>
        <w:autoSpaceDE w:val="0"/>
        <w:autoSpaceDN w:val="0"/>
        <w:adjustRightInd w:val="0"/>
        <w:ind w:firstLine="709"/>
        <w:jc w:val="both"/>
        <w:rPr>
          <w:sz w:val="28"/>
          <w:szCs w:val="28"/>
        </w:rPr>
      </w:pPr>
      <w:r>
        <w:rPr>
          <w:rFonts w:eastAsiaTheme="minorHAnsi"/>
          <w:noProof w:val="0"/>
          <w:sz w:val="28"/>
          <w:szCs w:val="28"/>
          <w:lang w:eastAsia="en-US"/>
        </w:rPr>
        <w:t xml:space="preserve">ж) подготовку к текущему, рубежному контролю и промежуточной </w:t>
      </w:r>
      <w:r>
        <w:rPr>
          <w:sz w:val="28"/>
          <w:szCs w:val="28"/>
        </w:rPr>
        <w:t>аттестации по дисциплине.</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041759">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041759">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 xml:space="preserve">выполнение индивидуальных </w:t>
      </w:r>
      <w:r w:rsidR="00041759">
        <w:rPr>
          <w:rFonts w:eastAsiaTheme="minorHAnsi"/>
          <w:noProof w:val="0"/>
          <w:sz w:val="28"/>
          <w:szCs w:val="28"/>
          <w:lang w:eastAsia="en-US"/>
        </w:rPr>
        <w:t xml:space="preserve">творческих </w:t>
      </w:r>
      <w:r w:rsidRPr="00997ADE">
        <w:rPr>
          <w:rFonts w:eastAsiaTheme="minorHAnsi"/>
          <w:noProof w:val="0"/>
          <w:sz w:val="28"/>
          <w:szCs w:val="28"/>
          <w:lang w:eastAsia="en-US"/>
        </w:rPr>
        <w:t>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041759">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041759">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w:t>
      </w:r>
      <w:r w:rsidR="00041759">
        <w:rPr>
          <w:rFonts w:eastAsiaTheme="minorHAnsi"/>
          <w:noProof w:val="0"/>
          <w:sz w:val="28"/>
          <w:szCs w:val="28"/>
          <w:lang w:eastAsia="en-US"/>
        </w:rPr>
        <w:t xml:space="preserve"> творческой части преподавания.</w:t>
      </w:r>
    </w:p>
    <w:p w:rsidR="00041759" w:rsidRDefault="00041759" w:rsidP="00041759">
      <w:pPr>
        <w:keepNext/>
        <w:ind w:firstLine="709"/>
        <w:jc w:val="both"/>
        <w:rPr>
          <w:rFonts w:eastAsiaTheme="minorHAnsi"/>
          <w:noProof w:val="0"/>
          <w:sz w:val="28"/>
          <w:szCs w:val="28"/>
          <w:lang w:eastAsia="en-US"/>
        </w:rPr>
      </w:pPr>
      <w:r>
        <w:rPr>
          <w:rFonts w:eastAsia="Times New Roman Italic"/>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нормативного и 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r>
        <w:rPr>
          <w:rFonts w:eastAsiaTheme="minorHAnsi"/>
          <w:noProof w:val="0"/>
          <w:sz w:val="28"/>
          <w:szCs w:val="28"/>
          <w:lang w:eastAsia="en-US"/>
        </w:rPr>
        <w:t xml:space="preserve">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E808DF" w:rsidRPr="00811883" w:rsidRDefault="00E808DF" w:rsidP="00041759">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Default="00E808DF" w:rsidP="00041759">
      <w:pPr>
        <w:pStyle w:val="ReportMain"/>
        <w:suppressAutoHyphens/>
        <w:ind w:firstLine="709"/>
        <w:jc w:val="both"/>
        <w:rPr>
          <w:sz w:val="28"/>
          <w:szCs w:val="28"/>
        </w:rPr>
      </w:pPr>
    </w:p>
    <w:p w:rsidR="00041759" w:rsidRDefault="00041759" w:rsidP="00041759">
      <w:pPr>
        <w:pStyle w:val="ReportMain"/>
        <w:suppressAutoHyphens/>
        <w:ind w:firstLine="709"/>
        <w:jc w:val="both"/>
        <w:rPr>
          <w:sz w:val="28"/>
          <w:szCs w:val="28"/>
        </w:rPr>
      </w:pPr>
    </w:p>
    <w:p w:rsidR="00041759" w:rsidRDefault="00041759" w:rsidP="00041759">
      <w:pPr>
        <w:pStyle w:val="ReportMain"/>
        <w:suppressAutoHyphens/>
        <w:ind w:firstLine="709"/>
        <w:jc w:val="both"/>
        <w:rPr>
          <w:sz w:val="28"/>
          <w:szCs w:val="28"/>
        </w:rPr>
      </w:pPr>
    </w:p>
    <w:p w:rsidR="00041759" w:rsidRDefault="00041759" w:rsidP="00041759">
      <w:pPr>
        <w:pStyle w:val="ReportMain"/>
        <w:suppressAutoHyphens/>
        <w:ind w:firstLine="709"/>
        <w:jc w:val="both"/>
        <w:rPr>
          <w:sz w:val="28"/>
          <w:szCs w:val="28"/>
        </w:rPr>
      </w:pPr>
    </w:p>
    <w:p w:rsidR="00041759" w:rsidRPr="00811883" w:rsidRDefault="00041759" w:rsidP="00041759">
      <w:pPr>
        <w:pStyle w:val="ReportMain"/>
        <w:suppressAutoHyphens/>
        <w:ind w:firstLine="709"/>
        <w:jc w:val="both"/>
        <w:rPr>
          <w:sz w:val="28"/>
          <w:szCs w:val="28"/>
        </w:rPr>
      </w:pPr>
    </w:p>
    <w:p w:rsidR="00E808DF" w:rsidRPr="00BA018C" w:rsidRDefault="00997ADE" w:rsidP="00041759">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lastRenderedPageBreak/>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041759">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041759">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041759">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041759">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041759">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041759">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041759">
      <w:pPr>
        <w:pStyle w:val="ReportMain"/>
        <w:suppressAutoHyphens/>
        <w:ind w:firstLine="709"/>
        <w:jc w:val="both"/>
        <w:rPr>
          <w:rFonts w:eastAsia="Times New Roman Italic"/>
          <w:sz w:val="28"/>
          <w:szCs w:val="28"/>
        </w:rPr>
      </w:pPr>
    </w:p>
    <w:p w:rsidR="00811883" w:rsidRDefault="00997ADE" w:rsidP="00041759">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041759">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041759">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lastRenderedPageBreak/>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lastRenderedPageBreak/>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r>
      <w:proofErr w:type="gramStart"/>
      <w:r w:rsidRPr="00B93EF7">
        <w:rPr>
          <w:sz w:val="28"/>
          <w:szCs w:val="28"/>
        </w:rPr>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roofErr w:type="gramEnd"/>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lastRenderedPageBreak/>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lastRenderedPageBreak/>
        <w:t>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менеджмент — 2%, типичный срок экспозиции — четыре месяца, премия за </w:t>
      </w:r>
      <w:proofErr w:type="spellStart"/>
      <w:r>
        <w:t>страновой</w:t>
      </w:r>
      <w:proofErr w:type="spellEnd"/>
      <w:r>
        <w:t xml:space="preserve">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w:t>
            </w:r>
            <w:r w:rsidRPr="005A6488">
              <w:lastRenderedPageBreak/>
              <w:t>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w:t>
            </w:r>
            <w:r w:rsidRPr="005A6488">
              <w:lastRenderedPageBreak/>
              <w:t>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44" w:rsidRDefault="000D4744" w:rsidP="003A4581">
      <w:r>
        <w:separator/>
      </w:r>
    </w:p>
  </w:endnote>
  <w:endnote w:type="continuationSeparator" w:id="0">
    <w:p w:rsidR="000D4744" w:rsidRDefault="000D4744"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A348C5">
          <w:t>2</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44" w:rsidRDefault="000D4744" w:rsidP="003A4581">
      <w:r>
        <w:separator/>
      </w:r>
    </w:p>
  </w:footnote>
  <w:footnote w:type="continuationSeparator" w:id="0">
    <w:p w:rsidR="000D4744" w:rsidRDefault="000D4744"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1759"/>
    <w:rsid w:val="0004469D"/>
    <w:rsid w:val="00050255"/>
    <w:rsid w:val="00066D73"/>
    <w:rsid w:val="00072485"/>
    <w:rsid w:val="00077906"/>
    <w:rsid w:val="00083EC6"/>
    <w:rsid w:val="000D4744"/>
    <w:rsid w:val="00105CD6"/>
    <w:rsid w:val="00180998"/>
    <w:rsid w:val="001848F7"/>
    <w:rsid w:val="0020474E"/>
    <w:rsid w:val="00206BC2"/>
    <w:rsid w:val="00246613"/>
    <w:rsid w:val="00252E5E"/>
    <w:rsid w:val="00266534"/>
    <w:rsid w:val="002737F2"/>
    <w:rsid w:val="002924DA"/>
    <w:rsid w:val="003075B6"/>
    <w:rsid w:val="00315589"/>
    <w:rsid w:val="00393DB5"/>
    <w:rsid w:val="003A4581"/>
    <w:rsid w:val="003A5A7F"/>
    <w:rsid w:val="003B72D4"/>
    <w:rsid w:val="003F5ABB"/>
    <w:rsid w:val="00412079"/>
    <w:rsid w:val="004723E9"/>
    <w:rsid w:val="00491D83"/>
    <w:rsid w:val="0049635A"/>
    <w:rsid w:val="004E3B6A"/>
    <w:rsid w:val="005219F6"/>
    <w:rsid w:val="00566842"/>
    <w:rsid w:val="00594DC6"/>
    <w:rsid w:val="005C44AF"/>
    <w:rsid w:val="005D04E3"/>
    <w:rsid w:val="00603D6C"/>
    <w:rsid w:val="00632294"/>
    <w:rsid w:val="006E6367"/>
    <w:rsid w:val="006F136D"/>
    <w:rsid w:val="006F1706"/>
    <w:rsid w:val="00720AD6"/>
    <w:rsid w:val="00725476"/>
    <w:rsid w:val="00737391"/>
    <w:rsid w:val="00765F29"/>
    <w:rsid w:val="00794F4C"/>
    <w:rsid w:val="007C2417"/>
    <w:rsid w:val="00811883"/>
    <w:rsid w:val="00847EB5"/>
    <w:rsid w:val="00893EF4"/>
    <w:rsid w:val="00922B92"/>
    <w:rsid w:val="00935F84"/>
    <w:rsid w:val="00947BA8"/>
    <w:rsid w:val="00953C64"/>
    <w:rsid w:val="009657E0"/>
    <w:rsid w:val="00966AF2"/>
    <w:rsid w:val="00997ADE"/>
    <w:rsid w:val="00A348C5"/>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8048B"/>
    <w:rsid w:val="00CE364B"/>
    <w:rsid w:val="00CF7108"/>
    <w:rsid w:val="00D03D71"/>
    <w:rsid w:val="00D73DDA"/>
    <w:rsid w:val="00D7725A"/>
    <w:rsid w:val="00D8335D"/>
    <w:rsid w:val="00D94095"/>
    <w:rsid w:val="00DA5D9E"/>
    <w:rsid w:val="00DD5A95"/>
    <w:rsid w:val="00DD6E0A"/>
    <w:rsid w:val="00E0116A"/>
    <w:rsid w:val="00E554FA"/>
    <w:rsid w:val="00E808DF"/>
    <w:rsid w:val="00E96B8A"/>
    <w:rsid w:val="00EF7C56"/>
    <w:rsid w:val="00F43FA5"/>
    <w:rsid w:val="00F514CC"/>
    <w:rsid w:val="00F515D5"/>
    <w:rsid w:val="00F63249"/>
    <w:rsid w:val="00F73B5B"/>
    <w:rsid w:val="00F75376"/>
    <w:rsid w:val="00F760AD"/>
    <w:rsid w:val="00FC5BFD"/>
    <w:rsid w:val="00FD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189881069">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49924773">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65400494">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F4D2C-8CF8-4814-9814-1B4CA557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17</Pages>
  <Words>4437</Words>
  <Characters>25292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2019-11-06T13:01:00Z</cp:lastPrinted>
  <dcterms:created xsi:type="dcterms:W3CDTF">2016-09-11T07:22:00Z</dcterms:created>
  <dcterms:modified xsi:type="dcterms:W3CDTF">2020-02-15T08:26:00Z</dcterms:modified>
</cp:coreProperties>
</file>