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065D2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B726F9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390D">
        <w:rPr>
          <w:i/>
          <w:sz w:val="24"/>
          <w:u w:val="single"/>
        </w:rPr>
        <w:t>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D433ED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C11CC8">
        <w:rPr>
          <w:sz w:val="24"/>
        </w:rPr>
        <w:t>9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C11CC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25153D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</w:t>
      </w:r>
      <w:r w:rsidR="00C11CC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C11CC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</w:p>
    <w:p w:rsidR="00CA390D" w:rsidRPr="00CA390D" w:rsidRDefault="0025153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</w:t>
      </w:r>
      <w:r w:rsidR="00C11CC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F96312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B726F9">
        <w:rPr>
          <w:rFonts w:ascii="Times New Roman" w:hAnsi="Times New Roman" w:cs="Times New Roman"/>
          <w:sz w:val="28"/>
          <w:szCs w:val="28"/>
        </w:rPr>
        <w:t>выполнению контрольной работы..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11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726F9">
        <w:rPr>
          <w:rFonts w:ascii="Times New Roman" w:hAnsi="Times New Roman" w:cs="Times New Roman"/>
          <w:sz w:val="28"/>
          <w:szCs w:val="28"/>
        </w:rPr>
        <w:t>12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726F9">
        <w:rPr>
          <w:rFonts w:ascii="Times New Roman" w:hAnsi="Times New Roman" w:cs="Times New Roman"/>
          <w:sz w:val="28"/>
          <w:szCs w:val="28"/>
        </w:rPr>
        <w:t>22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B726F9">
        <w:rPr>
          <w:rFonts w:ascii="Times New Roman" w:hAnsi="Times New Roman" w:cs="Times New Roman"/>
          <w:sz w:val="28"/>
          <w:szCs w:val="28"/>
        </w:rPr>
        <w:t>23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>по выполнению контрольной 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74C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08374C" w:rsidRPr="00F73033" w:rsidRDefault="0008374C" w:rsidP="0008374C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>Вопросы для устного собеседования (семинара)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lastRenderedPageBreak/>
        <w:t>5. Сущность и значение стадии возбуждения дела в арбитражном суде.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6. Подготовка дела к судебному разбирательству как стадия арбитражного процесса: понятие, задачи и сроки.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7. Предварительное судебное заседание: цели, значение, порядок про ведения.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08374C" w:rsidRPr="00F73033" w:rsidRDefault="0008374C" w:rsidP="0008374C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08374C" w:rsidRPr="00F73033" w:rsidRDefault="0008374C" w:rsidP="0008374C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08374C" w:rsidRPr="00F73033" w:rsidRDefault="0008374C" w:rsidP="0008374C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Кассационное производство: понятие, сущность. 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>Вопросы для устного собеседования (семинара)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08374C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08374C" w:rsidRPr="00F73033" w:rsidRDefault="0008374C" w:rsidP="0008374C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08374C" w:rsidRPr="00F73033" w:rsidRDefault="0008374C" w:rsidP="0008374C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Источники международного арбитражного процесса. Международно-правовые источники. Модельное (типовое) законодательство. Российские источники. Национальное законодательство других стран. Судебная практика. Доктрина.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08374C" w:rsidRPr="00F73033" w:rsidRDefault="0008374C" w:rsidP="0008374C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Pr="003C6536" w:rsidRDefault="0008374C" w:rsidP="0008374C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Международная подсудность. Значение и истоки вопроса. Связь подсудности со способом защиты. Системы определения подсудности. Пророгационные и дерогационные соглашения</w:t>
      </w:r>
      <w:r w:rsidR="003C6536" w:rsidRPr="003C65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bookmarkStart w:id="1" w:name="_GoBack"/>
      <w:bookmarkEnd w:id="1"/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="0008374C">
        <w:rPr>
          <w:rStyle w:val="a7"/>
          <w:rFonts w:ascii="Times New Roman" w:hAnsi="Times New Roman" w:cs="Times New Roman"/>
          <w:sz w:val="28"/>
          <w:szCs w:val="28"/>
        </w:rPr>
        <w:t>а 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083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8374C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08374C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Pr="00D73B4C" w:rsidRDefault="00C91CA6" w:rsidP="00D73B4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84A35" w:rsidRPr="00936787" w:rsidRDefault="00C84A35" w:rsidP="00C84A35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C84A35" w:rsidRPr="00936787" w:rsidRDefault="00C84A35" w:rsidP="00C84A35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Оценка «хорошо» - студент показывает глубокие знания программного материала, грамотно его излагает, достаточно полно отвечает на </w:t>
      </w:r>
      <w:r w:rsidRPr="0034585D">
        <w:rPr>
          <w:color w:val="000000"/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C84A35" w:rsidRPr="00BA7074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свыше </w:t>
      </w:r>
      <w:r w:rsidRPr="00495E72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495E72">
        <w:rPr>
          <w:color w:val="000000"/>
          <w:sz w:val="28"/>
          <w:szCs w:val="28"/>
        </w:rPr>
        <w:t>менее 40%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ответов.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C84A35" w:rsidRPr="00BA7074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C84A35" w:rsidRPr="0034585D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C84A35" w:rsidRDefault="00C84A35" w:rsidP="00C84A35">
      <w:pPr>
        <w:pStyle w:val="a5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</w:t>
      </w:r>
      <w:r>
        <w:rPr>
          <w:color w:val="000000"/>
          <w:sz w:val="28"/>
          <w:szCs w:val="28"/>
        </w:rPr>
        <w:t>ся курсом лекций или учебниками.</w:t>
      </w:r>
      <w:r>
        <w:rPr>
          <w:i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C84A35" w:rsidRPr="0012618F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</w:t>
      </w: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обосновывает принятое решение, владеет разносторонними навыками и приемами выполнения практических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A35" w:rsidRDefault="00C84A35" w:rsidP="00C84A35">
      <w:pPr>
        <w:spacing w:after="0" w:line="240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C84A35" w:rsidRPr="0012618F" w:rsidRDefault="00C84A35" w:rsidP="00C84A3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задания.</w:t>
      </w:r>
    </w:p>
    <w:p w:rsidR="00C91CA6" w:rsidRDefault="00C91CA6" w:rsidP="00914B24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</w:p>
    <w:p w:rsidR="00C91CA6" w:rsidRPr="00C91CA6" w:rsidRDefault="00C91CA6" w:rsidP="00914B2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F4" w:rsidRDefault="00B67BF4" w:rsidP="009C4F41">
      <w:pPr>
        <w:spacing w:after="0" w:line="240" w:lineRule="auto"/>
      </w:pPr>
      <w:r>
        <w:separator/>
      </w:r>
    </w:p>
  </w:endnote>
  <w:endnote w:type="continuationSeparator" w:id="0">
    <w:p w:rsidR="00B67BF4" w:rsidRDefault="00B67BF4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08374C">
          <w:rPr>
            <w:rFonts w:ascii="Times New Roman" w:hAnsi="Times New Roman" w:cs="Times New Roman"/>
            <w:noProof/>
            <w:sz w:val="24"/>
          </w:rPr>
          <w:t>19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F4" w:rsidRDefault="00B67BF4" w:rsidP="009C4F41">
      <w:pPr>
        <w:spacing w:after="0" w:line="240" w:lineRule="auto"/>
      </w:pPr>
      <w:r>
        <w:separator/>
      </w:r>
    </w:p>
  </w:footnote>
  <w:footnote w:type="continuationSeparator" w:id="0">
    <w:p w:rsidR="00B67BF4" w:rsidRDefault="00B67BF4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8374C"/>
    <w:rsid w:val="0008529D"/>
    <w:rsid w:val="00093F2F"/>
    <w:rsid w:val="000957DB"/>
    <w:rsid w:val="000B4C02"/>
    <w:rsid w:val="00181518"/>
    <w:rsid w:val="0019301A"/>
    <w:rsid w:val="001D4B3D"/>
    <w:rsid w:val="0025153D"/>
    <w:rsid w:val="00262223"/>
    <w:rsid w:val="002700DD"/>
    <w:rsid w:val="002B3294"/>
    <w:rsid w:val="00311901"/>
    <w:rsid w:val="0034585D"/>
    <w:rsid w:val="003C6536"/>
    <w:rsid w:val="003E0F16"/>
    <w:rsid w:val="003E2504"/>
    <w:rsid w:val="003F7C7A"/>
    <w:rsid w:val="00422C8C"/>
    <w:rsid w:val="00437874"/>
    <w:rsid w:val="00496F2C"/>
    <w:rsid w:val="004B71DC"/>
    <w:rsid w:val="004E6896"/>
    <w:rsid w:val="005065D2"/>
    <w:rsid w:val="00514FF3"/>
    <w:rsid w:val="00566F3F"/>
    <w:rsid w:val="005D68F2"/>
    <w:rsid w:val="00621177"/>
    <w:rsid w:val="006A2CCB"/>
    <w:rsid w:val="006F462B"/>
    <w:rsid w:val="006F5040"/>
    <w:rsid w:val="007331A3"/>
    <w:rsid w:val="007643D6"/>
    <w:rsid w:val="00776ECC"/>
    <w:rsid w:val="007E6A4B"/>
    <w:rsid w:val="00844069"/>
    <w:rsid w:val="008666AF"/>
    <w:rsid w:val="00880197"/>
    <w:rsid w:val="008B26A2"/>
    <w:rsid w:val="00914B24"/>
    <w:rsid w:val="00941B2E"/>
    <w:rsid w:val="0097311D"/>
    <w:rsid w:val="0099662D"/>
    <w:rsid w:val="009C4F41"/>
    <w:rsid w:val="009D599E"/>
    <w:rsid w:val="009D6E3F"/>
    <w:rsid w:val="00A075F2"/>
    <w:rsid w:val="00A25FE1"/>
    <w:rsid w:val="00AA1506"/>
    <w:rsid w:val="00AD16C3"/>
    <w:rsid w:val="00B67BF4"/>
    <w:rsid w:val="00B726F9"/>
    <w:rsid w:val="00BA7074"/>
    <w:rsid w:val="00BB6363"/>
    <w:rsid w:val="00BC5AE7"/>
    <w:rsid w:val="00C05FA7"/>
    <w:rsid w:val="00C07FDF"/>
    <w:rsid w:val="00C11CC8"/>
    <w:rsid w:val="00C61590"/>
    <w:rsid w:val="00C84A35"/>
    <w:rsid w:val="00C91CA6"/>
    <w:rsid w:val="00CA390D"/>
    <w:rsid w:val="00CA77E5"/>
    <w:rsid w:val="00D10E9D"/>
    <w:rsid w:val="00D433ED"/>
    <w:rsid w:val="00D4485A"/>
    <w:rsid w:val="00D47509"/>
    <w:rsid w:val="00D73B4C"/>
    <w:rsid w:val="00DB1F55"/>
    <w:rsid w:val="00DC59B8"/>
    <w:rsid w:val="00E36D9E"/>
    <w:rsid w:val="00F37DA8"/>
    <w:rsid w:val="00F4178F"/>
    <w:rsid w:val="00F72274"/>
    <w:rsid w:val="00F96312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CE93-784F-4FFC-9E19-0721F73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919F-BE06-4336-9C54-CE42528D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11</cp:revision>
  <cp:lastPrinted>2019-10-13T10:05:00Z</cp:lastPrinted>
  <dcterms:created xsi:type="dcterms:W3CDTF">2019-10-13T10:06:00Z</dcterms:created>
  <dcterms:modified xsi:type="dcterms:W3CDTF">2019-12-13T05:54:00Z</dcterms:modified>
</cp:coreProperties>
</file>