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w:t>
      </w:r>
      <w:r w:rsidR="00833584">
        <w:rPr>
          <w:i/>
          <w:szCs w:val="28"/>
          <w:u w:val="single"/>
        </w:rPr>
        <w:t>о-заочная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737239">
        <w:rPr>
          <w:sz w:val="28"/>
          <w:szCs w:val="28"/>
        </w:rPr>
        <w:t>8</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 xml:space="preserve">протокол № </w:t>
      </w:r>
      <w:r w:rsidR="00737239">
        <w:rPr>
          <w:rFonts w:eastAsia="Calibri"/>
          <w:sz w:val="28"/>
          <w:szCs w:val="28"/>
        </w:rPr>
        <w:t>7</w:t>
      </w:r>
      <w:r w:rsidRPr="00B6636B">
        <w:rPr>
          <w:rFonts w:eastAsia="Calibri"/>
          <w:sz w:val="28"/>
          <w:szCs w:val="28"/>
        </w:rPr>
        <w:t xml:space="preserve"> от "</w:t>
      </w:r>
      <w:r w:rsidR="00737239">
        <w:rPr>
          <w:rFonts w:eastAsia="Calibri"/>
          <w:sz w:val="28"/>
          <w:szCs w:val="28"/>
        </w:rPr>
        <w:t>15</w:t>
      </w:r>
      <w:r w:rsidRPr="00B6636B">
        <w:rPr>
          <w:rFonts w:eastAsia="Calibri"/>
          <w:sz w:val="28"/>
          <w:szCs w:val="28"/>
        </w:rPr>
        <w:t xml:space="preserve">" </w:t>
      </w:r>
      <w:r w:rsidR="00737239">
        <w:rPr>
          <w:rFonts w:eastAsia="Calibri"/>
          <w:sz w:val="28"/>
          <w:szCs w:val="28"/>
        </w:rPr>
        <w:t>февраля</w:t>
      </w:r>
      <w:r w:rsidRPr="00B6636B">
        <w:rPr>
          <w:rFonts w:eastAsia="Calibri"/>
          <w:sz w:val="28"/>
          <w:szCs w:val="28"/>
        </w:rPr>
        <w:t xml:space="preserve"> 201</w:t>
      </w:r>
      <w:r w:rsidR="00737239">
        <w:rPr>
          <w:rFonts w:eastAsia="Calibri"/>
          <w:sz w:val="28"/>
          <w:szCs w:val="28"/>
        </w:rPr>
        <w:t>8</w:t>
      </w:r>
      <w:r w:rsidRPr="00B6636B">
        <w:rPr>
          <w:rFonts w:eastAsia="Calibri"/>
          <w:sz w:val="28"/>
          <w:szCs w:val="28"/>
        </w:rPr>
        <w:t xml:space="preserve">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Default="009B1E57" w:rsidP="00995D67">
      <w:pPr>
        <w:pStyle w:val="af0"/>
        <w:ind w:left="0" w:firstLine="709"/>
        <w:jc w:val="both"/>
        <w:rPr>
          <w:sz w:val="28"/>
          <w:szCs w:val="28"/>
        </w:rPr>
      </w:pPr>
      <w:r w:rsidRPr="009B1E57">
        <w:rPr>
          <w:sz w:val="28"/>
          <w:szCs w:val="28"/>
        </w:rPr>
        <w:t>12.4 Особенности проведения последующих следственных действий.</w:t>
      </w:r>
    </w:p>
    <w:p w:rsidR="00833584" w:rsidRPr="00833584" w:rsidRDefault="00833584" w:rsidP="00833584">
      <w:pPr>
        <w:shd w:val="clear" w:color="auto" w:fill="FFFFFF"/>
        <w:ind w:firstLine="709"/>
        <w:jc w:val="both"/>
        <w:rPr>
          <w:rFonts w:eastAsia="Calibri"/>
          <w:b/>
          <w:spacing w:val="-1"/>
          <w:sz w:val="28"/>
          <w:szCs w:val="28"/>
        </w:rPr>
      </w:pPr>
      <w:r w:rsidRPr="00833584">
        <w:rPr>
          <w:b/>
          <w:spacing w:val="-2"/>
          <w:sz w:val="28"/>
          <w:szCs w:val="28"/>
        </w:rPr>
        <w:t xml:space="preserve">Тема 13 </w:t>
      </w:r>
      <w:r w:rsidRPr="00833584">
        <w:rPr>
          <w:rFonts w:eastAsia="Calibri"/>
          <w:b/>
          <w:spacing w:val="-1"/>
          <w:sz w:val="28"/>
          <w:szCs w:val="28"/>
        </w:rPr>
        <w:t>Методика расследования бандитизма.</w:t>
      </w:r>
    </w:p>
    <w:p w:rsidR="00833584" w:rsidRPr="00833584" w:rsidRDefault="00833584" w:rsidP="00833584">
      <w:pPr>
        <w:tabs>
          <w:tab w:val="left" w:pos="1134"/>
        </w:tabs>
        <w:ind w:firstLine="709"/>
        <w:jc w:val="both"/>
        <w:rPr>
          <w:sz w:val="28"/>
          <w:szCs w:val="28"/>
        </w:rPr>
      </w:pPr>
      <w:r w:rsidRPr="00833584">
        <w:rPr>
          <w:sz w:val="28"/>
          <w:szCs w:val="28"/>
        </w:rPr>
        <w:t>13.1 Криминалистическая характеристика бандитизма.</w:t>
      </w:r>
    </w:p>
    <w:p w:rsidR="00833584" w:rsidRPr="00833584" w:rsidRDefault="00833584" w:rsidP="00833584">
      <w:pPr>
        <w:tabs>
          <w:tab w:val="left" w:pos="1134"/>
        </w:tabs>
        <w:ind w:firstLine="709"/>
        <w:jc w:val="both"/>
        <w:rPr>
          <w:sz w:val="28"/>
          <w:szCs w:val="28"/>
        </w:rPr>
      </w:pPr>
      <w:r w:rsidRPr="00833584">
        <w:rPr>
          <w:sz w:val="28"/>
          <w:szCs w:val="28"/>
        </w:rPr>
        <w:t>13.2 Первоначальные следственные действия при расследовании преступлений, совершенных бандой.</w:t>
      </w:r>
    </w:p>
    <w:p w:rsidR="00833584" w:rsidRPr="00833584" w:rsidRDefault="00833584" w:rsidP="00833584">
      <w:pPr>
        <w:tabs>
          <w:tab w:val="left" w:pos="1134"/>
        </w:tabs>
        <w:ind w:firstLine="709"/>
        <w:jc w:val="both"/>
        <w:rPr>
          <w:sz w:val="28"/>
          <w:szCs w:val="28"/>
        </w:rPr>
      </w:pPr>
      <w:r w:rsidRPr="00833584">
        <w:rPr>
          <w:sz w:val="28"/>
          <w:szCs w:val="28"/>
        </w:rPr>
        <w:t>13.3 Последующие следственные действия при расследовании преступлений, совершенных бандой.</w:t>
      </w:r>
    </w:p>
    <w:p w:rsidR="00833584" w:rsidRPr="00833584" w:rsidRDefault="00833584" w:rsidP="00833584">
      <w:pPr>
        <w:tabs>
          <w:tab w:val="left" w:pos="1134"/>
        </w:tabs>
        <w:ind w:firstLine="709"/>
        <w:jc w:val="both"/>
        <w:rPr>
          <w:sz w:val="28"/>
          <w:szCs w:val="28"/>
        </w:rPr>
      </w:pPr>
      <w:r w:rsidRPr="00833584">
        <w:rPr>
          <w:sz w:val="28"/>
          <w:szCs w:val="28"/>
        </w:rPr>
        <w:t>13.4 Порядок проведения допросов членов банды.</w:t>
      </w:r>
    </w:p>
    <w:p w:rsidR="00833584" w:rsidRPr="00833584" w:rsidRDefault="00833584" w:rsidP="00833584">
      <w:pPr>
        <w:tabs>
          <w:tab w:val="left" w:pos="1134"/>
        </w:tabs>
        <w:ind w:firstLine="709"/>
        <w:jc w:val="both"/>
        <w:rPr>
          <w:b/>
          <w:color w:val="000000"/>
          <w:spacing w:val="-3"/>
          <w:sz w:val="28"/>
          <w:szCs w:val="28"/>
        </w:rPr>
      </w:pPr>
      <w:r w:rsidRPr="00833584">
        <w:rPr>
          <w:b/>
          <w:color w:val="000000"/>
          <w:spacing w:val="-2"/>
          <w:sz w:val="28"/>
          <w:szCs w:val="28"/>
        </w:rPr>
        <w:t xml:space="preserve">Тема 14 </w:t>
      </w:r>
      <w:r w:rsidRPr="00833584">
        <w:rPr>
          <w:rFonts w:eastAsia="Calibri"/>
          <w:b/>
          <w:sz w:val="28"/>
          <w:szCs w:val="28"/>
        </w:rPr>
        <w:t>Криминалистическая характеристика и особенности расследования взяточничества.</w:t>
      </w:r>
    </w:p>
    <w:p w:rsidR="00833584" w:rsidRPr="00833584" w:rsidRDefault="00833584" w:rsidP="00833584">
      <w:pPr>
        <w:tabs>
          <w:tab w:val="left" w:pos="1134"/>
        </w:tabs>
        <w:ind w:firstLine="709"/>
        <w:jc w:val="both"/>
        <w:rPr>
          <w:sz w:val="28"/>
          <w:szCs w:val="28"/>
        </w:rPr>
      </w:pPr>
      <w:r w:rsidRPr="00833584">
        <w:rPr>
          <w:sz w:val="28"/>
          <w:szCs w:val="28"/>
        </w:rPr>
        <w:t xml:space="preserve">14.1 Криминалистическая характеристика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418"/>
        </w:tabs>
        <w:ind w:firstLine="709"/>
        <w:jc w:val="both"/>
        <w:rPr>
          <w:sz w:val="28"/>
          <w:szCs w:val="28"/>
        </w:rPr>
      </w:pPr>
      <w:r w:rsidRPr="00833584">
        <w:rPr>
          <w:sz w:val="28"/>
          <w:szCs w:val="28"/>
        </w:rPr>
        <w:t xml:space="preserve">14.2 Типичные следственные ситуации и программа действий следователя на первоначальном этапе расследования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418"/>
        </w:tabs>
        <w:ind w:firstLine="709"/>
        <w:jc w:val="both"/>
        <w:rPr>
          <w:sz w:val="28"/>
          <w:szCs w:val="28"/>
        </w:rPr>
      </w:pPr>
      <w:r w:rsidRPr="00833584">
        <w:rPr>
          <w:sz w:val="28"/>
          <w:szCs w:val="28"/>
        </w:rPr>
        <w:t>14.3 Особенности проведения операции по задержанию с поличным взяточника.</w:t>
      </w:r>
    </w:p>
    <w:p w:rsidR="00833584" w:rsidRPr="00833584" w:rsidRDefault="00833584" w:rsidP="00833584">
      <w:pPr>
        <w:tabs>
          <w:tab w:val="left" w:pos="1134"/>
          <w:tab w:val="left" w:pos="1418"/>
        </w:tabs>
        <w:ind w:firstLine="709"/>
        <w:jc w:val="both"/>
        <w:rPr>
          <w:sz w:val="28"/>
          <w:szCs w:val="28"/>
        </w:rPr>
      </w:pPr>
      <w:r w:rsidRPr="00833584">
        <w:rPr>
          <w:sz w:val="28"/>
          <w:szCs w:val="28"/>
        </w:rPr>
        <w:t xml:space="preserve">14.4 Последующие следственные действия при расследовании </w:t>
      </w:r>
      <w:r w:rsidRPr="00833584">
        <w:rPr>
          <w:rFonts w:eastAsia="Calibri"/>
          <w:sz w:val="28"/>
          <w:szCs w:val="28"/>
        </w:rPr>
        <w:t>взяточничества</w:t>
      </w:r>
      <w:r w:rsidRPr="00833584">
        <w:rPr>
          <w:sz w:val="28"/>
          <w:szCs w:val="28"/>
        </w:rPr>
        <w:t>.</w:t>
      </w:r>
    </w:p>
    <w:p w:rsidR="00833584" w:rsidRPr="00833584" w:rsidRDefault="00833584" w:rsidP="00833584">
      <w:pPr>
        <w:tabs>
          <w:tab w:val="left" w:pos="1134"/>
          <w:tab w:val="left" w:pos="1276"/>
        </w:tabs>
        <w:ind w:firstLine="709"/>
        <w:jc w:val="both"/>
        <w:rPr>
          <w:sz w:val="28"/>
          <w:szCs w:val="28"/>
        </w:rPr>
      </w:pPr>
      <w:r w:rsidRPr="00833584">
        <w:rPr>
          <w:sz w:val="28"/>
          <w:szCs w:val="28"/>
        </w:rPr>
        <w:t xml:space="preserve">14.5 Порядок назначения и виды экспертиз по делам о </w:t>
      </w:r>
      <w:r w:rsidRPr="00833584">
        <w:rPr>
          <w:rFonts w:eastAsia="Calibri"/>
          <w:sz w:val="28"/>
          <w:szCs w:val="28"/>
        </w:rPr>
        <w:t>взяточничестве</w:t>
      </w:r>
      <w:r w:rsidRPr="00833584">
        <w:rPr>
          <w:sz w:val="28"/>
          <w:szCs w:val="28"/>
        </w:rPr>
        <w:t>.</w:t>
      </w:r>
    </w:p>
    <w:p w:rsidR="00833584" w:rsidRPr="00833584" w:rsidRDefault="00833584" w:rsidP="00833584">
      <w:pPr>
        <w:tabs>
          <w:tab w:val="left" w:pos="1134"/>
          <w:tab w:val="left" w:pos="1276"/>
        </w:tabs>
        <w:ind w:firstLine="709"/>
        <w:jc w:val="both"/>
        <w:rPr>
          <w:sz w:val="28"/>
          <w:szCs w:val="28"/>
        </w:rPr>
      </w:pPr>
      <w:r w:rsidRPr="00833584">
        <w:rPr>
          <w:sz w:val="28"/>
          <w:szCs w:val="28"/>
        </w:rPr>
        <w:t xml:space="preserve">14.6 Порядок проведения обыска (выемки) при расследовании </w:t>
      </w:r>
      <w:r w:rsidRPr="00833584">
        <w:rPr>
          <w:rFonts w:eastAsia="Calibri"/>
          <w:sz w:val="28"/>
          <w:szCs w:val="28"/>
        </w:rPr>
        <w:t>взяточничества.</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lastRenderedPageBreak/>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В ходе осмотра места происшествия было установлено, что в комнате на столе находится бутылка с небольшим количеством водки, два стакана с недопитой 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lastRenderedPageBreak/>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ди автомашины. Проведённые исследования позволили предположить, что выстрел в 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lastRenderedPageBreak/>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ет, что он направлен 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w:t>
      </w:r>
      <w:r>
        <w:rPr>
          <w:rFonts w:ascii="Times New Roman" w:hAnsi="Times New Roman" w:cs="Times New Roman"/>
          <w:sz w:val="28"/>
          <w:szCs w:val="28"/>
        </w:rPr>
        <w:lastRenderedPageBreak/>
        <w:t>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 xml:space="preserve">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w:t>
      </w:r>
      <w:r w:rsidRPr="00C010E2">
        <w:rPr>
          <w:sz w:val="28"/>
          <w:szCs w:val="28"/>
        </w:rPr>
        <w:lastRenderedPageBreak/>
        <w:t>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lastRenderedPageBreak/>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lastRenderedPageBreak/>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lastRenderedPageBreak/>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lastRenderedPageBreak/>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lastRenderedPageBreak/>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lastRenderedPageBreak/>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lastRenderedPageBreak/>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lastRenderedPageBreak/>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lastRenderedPageBreak/>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w:t>
      </w:r>
      <w:r w:rsidRPr="00CF33BD">
        <w:rPr>
          <w:sz w:val="28"/>
          <w:szCs w:val="28"/>
        </w:rPr>
        <w:lastRenderedPageBreak/>
        <w:t xml:space="preserve">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w:t>
      </w:r>
      <w:r w:rsidR="00B37F5A" w:rsidRPr="00164506">
        <w:rPr>
          <w:sz w:val="28"/>
          <w:szCs w:val="28"/>
        </w:rPr>
        <w:lastRenderedPageBreak/>
        <w:t xml:space="preserve">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 xml:space="preserve">медный кабель, стали его обжигать на костре. Обожгли только часть кабеля. Полученную медную проволоку </w:t>
      </w:r>
      <w:r w:rsidR="00F1743D" w:rsidRPr="00EB59C9">
        <w:rPr>
          <w:sz w:val="28"/>
          <w:szCs w:val="28"/>
        </w:rPr>
        <w:lastRenderedPageBreak/>
        <w:t>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ная дверь и два врезных замка видимых повреждений не имеют. В кухне на дверце навесного 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 xml:space="preserve">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w:t>
      </w:r>
      <w:r w:rsidRPr="00164506">
        <w:rPr>
          <w:sz w:val="28"/>
          <w:szCs w:val="28"/>
        </w:rPr>
        <w:lastRenderedPageBreak/>
        <w:t>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B37F5A" w:rsidRDefault="00B37F5A" w:rsidP="009344E6">
      <w:pPr>
        <w:shd w:val="clear" w:color="auto" w:fill="FFFFFF"/>
        <w:tabs>
          <w:tab w:val="left" w:pos="993"/>
        </w:tabs>
        <w:ind w:firstLine="709"/>
        <w:jc w:val="both"/>
        <w:rPr>
          <w:sz w:val="28"/>
          <w:szCs w:val="28"/>
        </w:rPr>
      </w:pPr>
      <w:bookmarkStart w:id="1" w:name="_Toc466136107"/>
    </w:p>
    <w:p w:rsidR="00833584" w:rsidRDefault="00833584" w:rsidP="009344E6">
      <w:pPr>
        <w:shd w:val="clear" w:color="auto" w:fill="FFFFFF"/>
        <w:tabs>
          <w:tab w:val="left" w:pos="993"/>
        </w:tabs>
        <w:ind w:firstLine="709"/>
        <w:jc w:val="both"/>
        <w:rPr>
          <w:sz w:val="28"/>
          <w:szCs w:val="28"/>
        </w:rPr>
      </w:pPr>
    </w:p>
    <w:p w:rsidR="00833584" w:rsidRDefault="00833584" w:rsidP="009344E6">
      <w:pPr>
        <w:shd w:val="clear" w:color="auto" w:fill="FFFFFF"/>
        <w:tabs>
          <w:tab w:val="left" w:pos="993"/>
        </w:tabs>
        <w:ind w:firstLine="709"/>
        <w:jc w:val="both"/>
        <w:rPr>
          <w:sz w:val="28"/>
          <w:szCs w:val="28"/>
        </w:rPr>
      </w:pPr>
    </w:p>
    <w:p w:rsidR="00833584" w:rsidRDefault="00833584" w:rsidP="009344E6">
      <w:pPr>
        <w:shd w:val="clear" w:color="auto" w:fill="FFFFFF"/>
        <w:tabs>
          <w:tab w:val="left" w:pos="993"/>
        </w:tabs>
        <w:ind w:firstLine="709"/>
        <w:jc w:val="both"/>
        <w:rPr>
          <w:sz w:val="28"/>
          <w:szCs w:val="28"/>
        </w:rPr>
      </w:pPr>
    </w:p>
    <w:p w:rsidR="00833584" w:rsidRPr="003A7C1E" w:rsidRDefault="00833584"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lastRenderedPageBreak/>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lastRenderedPageBreak/>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lastRenderedPageBreak/>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833584" w:rsidRDefault="00833584"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 xml:space="preserve">Глубина / полнота </w:t>
            </w:r>
            <w:r w:rsidRPr="000D680E">
              <w:rPr>
                <w:sz w:val="28"/>
                <w:szCs w:val="28"/>
              </w:rPr>
              <w:lastRenderedPageBreak/>
              <w:t>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D680E">
              <w:rPr>
                <w:rStyle w:val="36"/>
                <w:u w:val="none"/>
              </w:rPr>
              <w:lastRenderedPageBreak/>
              <w:t xml:space="preserve">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 xml:space="preserve">Характер </w:t>
            </w:r>
            <w:r w:rsidRPr="000D680E">
              <w:rPr>
                <w:sz w:val="28"/>
                <w:szCs w:val="28"/>
              </w:rPr>
              <w:lastRenderedPageBreak/>
              <w:t>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lastRenderedPageBreak/>
              <w:t>Студент правильно выполнил задание.</w:t>
            </w:r>
            <w:r w:rsidRPr="000D680E">
              <w:rPr>
                <w:rStyle w:val="29"/>
                <w:sz w:val="28"/>
                <w:szCs w:val="28"/>
              </w:rPr>
              <w:t xml:space="preserve"> </w:t>
            </w:r>
            <w:r w:rsidRPr="000D680E">
              <w:rPr>
                <w:sz w:val="28"/>
                <w:szCs w:val="28"/>
              </w:rPr>
              <w:t xml:space="preserve">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w:t>
            </w:r>
            <w:r w:rsidRPr="000D680E">
              <w:rPr>
                <w:sz w:val="28"/>
                <w:szCs w:val="28"/>
              </w:rPr>
              <w:lastRenderedPageBreak/>
              <w:t>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w:t>
      </w:r>
      <w:r w:rsidRPr="000D680E">
        <w:rPr>
          <w:sz w:val="28"/>
          <w:szCs w:val="28"/>
        </w:rPr>
        <w:lastRenderedPageBreak/>
        <w:t xml:space="preserve">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lastRenderedPageBreak/>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833584" w:rsidP="008E1C4E">
      <w:pPr>
        <w:widowControl w:val="0"/>
        <w:autoSpaceDE w:val="0"/>
        <w:autoSpaceDN w:val="0"/>
        <w:adjustRightInd w:val="0"/>
        <w:ind w:firstLine="709"/>
        <w:jc w:val="both"/>
        <w:rPr>
          <w:b/>
          <w:sz w:val="28"/>
          <w:szCs w:val="28"/>
        </w:rPr>
      </w:pPr>
      <w:r>
        <w:rPr>
          <w:b/>
          <w:sz w:val="28"/>
          <w:szCs w:val="28"/>
        </w:rPr>
        <w:t>6</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B1" w:rsidRDefault="003D40B1" w:rsidP="005A0E63">
      <w:r>
        <w:separator/>
      </w:r>
    </w:p>
  </w:endnote>
  <w:endnote w:type="continuationSeparator" w:id="0">
    <w:p w:rsidR="003D40B1" w:rsidRDefault="003D40B1"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E95272">
        <w:pPr>
          <w:pStyle w:val="ac"/>
          <w:jc w:val="right"/>
        </w:pPr>
        <w:r>
          <w:fldChar w:fldCharType="begin"/>
        </w:r>
        <w:r w:rsidR="002B66FC">
          <w:instrText xml:space="preserve"> PAGE   \* MERGEFORMAT </w:instrText>
        </w:r>
        <w:r>
          <w:fldChar w:fldCharType="separate"/>
        </w:r>
        <w:r w:rsidR="00833584">
          <w:rPr>
            <w:noProof/>
          </w:rPr>
          <w:t>64</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B1" w:rsidRDefault="003D40B1" w:rsidP="005A0E63">
      <w:r>
        <w:separator/>
      </w:r>
    </w:p>
  </w:footnote>
  <w:footnote w:type="continuationSeparator" w:id="0">
    <w:p w:rsidR="003D40B1" w:rsidRDefault="003D40B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3632F"/>
    <w:rsid w:val="00337B63"/>
    <w:rsid w:val="00340B63"/>
    <w:rsid w:val="00343EEC"/>
    <w:rsid w:val="003510A6"/>
    <w:rsid w:val="003557EE"/>
    <w:rsid w:val="003725C7"/>
    <w:rsid w:val="003773E4"/>
    <w:rsid w:val="00386A18"/>
    <w:rsid w:val="00393ED8"/>
    <w:rsid w:val="003A7C1E"/>
    <w:rsid w:val="003D36FC"/>
    <w:rsid w:val="003D40B1"/>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239"/>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3584"/>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93622"/>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32F7B"/>
    <w:rsid w:val="00E55DD2"/>
    <w:rsid w:val="00E737ED"/>
    <w:rsid w:val="00E73FC6"/>
    <w:rsid w:val="00E95272"/>
    <w:rsid w:val="00E97706"/>
    <w:rsid w:val="00EA6702"/>
    <w:rsid w:val="00EB2DDE"/>
    <w:rsid w:val="00EB7844"/>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CE31-5361-408B-81B0-D6858BE3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20935</Words>
  <Characters>119331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2019-11-26T15:51:00Z</cp:lastPrinted>
  <dcterms:created xsi:type="dcterms:W3CDTF">2019-12-01T18:26:00Z</dcterms:created>
  <dcterms:modified xsi:type="dcterms:W3CDTF">2019-12-01T18:33:00Z</dcterms:modified>
</cp:coreProperties>
</file>