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Кафедра гражданского права и процесса</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C00765"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B079B">
        <w:rPr>
          <w:rFonts w:ascii="Times New Roman" w:eastAsia="Calibri" w:hAnsi="Times New Roman" w:cs="Times New Roman"/>
          <w:sz w:val="24"/>
          <w:szCs w:val="24"/>
          <w:u w:val="single"/>
        </w:rPr>
        <w:t>гражданского права и процесса</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5B1ACF" w:rsidRPr="00DB079B">
        <w:rPr>
          <w:rFonts w:ascii="Times New Roman" w:eastAsia="Calibri" w:hAnsi="Times New Roman" w:cs="Times New Roman"/>
          <w:sz w:val="24"/>
          <w:szCs w:val="24"/>
          <w:u w:val="single"/>
        </w:rPr>
        <w:t xml:space="preserve">9 от 13.03.2017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9"/>
        <w:gridCol w:w="5273"/>
        <w:gridCol w:w="215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w:t>
            </w:r>
            <w:r w:rsidRPr="00DB079B">
              <w:rPr>
                <w:rFonts w:ascii="Times New Roman" w:eastAsia="Times New Roman" w:hAnsi="Times New Roman" w:cs="Times New Roman"/>
                <w:sz w:val="24"/>
                <w:szCs w:val="24"/>
                <w:lang w:eastAsia="ru-RU"/>
              </w:rPr>
              <w:lastRenderedPageBreak/>
              <w:t>субъектов страховых правоотношений при 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1F2D94" w:rsidRDefault="001F2D94" w:rsidP="00E37A58">
      <w:pPr>
        <w:spacing w:after="0" w:line="240" w:lineRule="auto"/>
        <w:ind w:firstLine="709"/>
        <w:jc w:val="both"/>
        <w:rPr>
          <w:rFonts w:ascii="Times New Roman" w:eastAsia="Times New Roman" w:hAnsi="Times New Roman" w:cs="Times New Roman"/>
          <w:sz w:val="24"/>
          <w:szCs w:val="24"/>
        </w:rPr>
      </w:pP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1 Общая характеристика страхового права</w:t>
      </w: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наука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учебная дисциплина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страховая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дело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lang w:eastAsia="ru-RU"/>
        </w:rPr>
        <w:t xml:space="preserve">1.4 </w:t>
      </w:r>
      <w:r w:rsidRPr="001F2D94">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 Материальные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1.9 М</w:t>
      </w:r>
      <w:r w:rsidRPr="001F2D94">
        <w:rPr>
          <w:rFonts w:ascii="Times New Roman" w:eastAsia="Times New Roman" w:hAnsi="Times New Roman" w:cs="Times New Roman"/>
          <w:sz w:val="24"/>
          <w:szCs w:val="24"/>
          <w:lang w:eastAsia="ru-RU"/>
        </w:rPr>
        <w:t>атериальные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1.10 В</w:t>
      </w:r>
      <w:r w:rsidRPr="001F2D94">
        <w:rPr>
          <w:rFonts w:ascii="Times New Roman" w:eastAsia="Times New Roman" w:hAnsi="Times New Roman" w:cs="Times New Roman"/>
          <w:sz w:val="24"/>
          <w:szCs w:val="24"/>
          <w:lang w:eastAsia="ru-RU"/>
        </w:rPr>
        <w:t>спомогательные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1.11 О</w:t>
      </w:r>
      <w:r w:rsidRPr="001F2D94">
        <w:rPr>
          <w:rFonts w:ascii="Times New Roman" w:eastAsia="Times New Roman" w:hAnsi="Times New Roman" w:cs="Times New Roman"/>
          <w:sz w:val="24"/>
          <w:szCs w:val="24"/>
          <w:lang w:eastAsia="ru-RU"/>
        </w:rPr>
        <w:t>рганизационные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1.12 Ю</w:t>
      </w:r>
      <w:r w:rsidRPr="001F2D94">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1.13 Ю</w:t>
      </w:r>
      <w:r w:rsidRPr="001F2D94">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1.16 Ф</w:t>
      </w:r>
      <w:r w:rsidRPr="001F2D94">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система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1.22 Общая часть страхового права включает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устанавливающие основные начала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его виды и юридические формы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страховой организации и её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1.24 В административно-правовой</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нет правильного ответа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1.26 Особенная часть административно-правового раздела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представлена следующими институтами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1.28 Главный источник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Конституция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судебный прецедент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страхователей, застрахованных лиц,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страховых брокеров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1.31 Страхователями могут быть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лица без гражданства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иностранцы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иностранные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граждане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1.32 Страхователь свободен в выборе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добровольным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обязательному государственному страхованию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влечёт прекращение страхового обязательства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дееспособностью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правосубъектностью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деликтоспособностью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1.36 Страхование третьего лица может быть</w:t>
      </w:r>
    </w:p>
    <w:p w:rsidR="001F2D94" w:rsidRPr="001F2D94" w:rsidRDefault="001F2D94" w:rsidP="001F2D94">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добровольным</w:t>
      </w:r>
      <w:r w:rsidRPr="001F2D94">
        <w:rPr>
          <w:rFonts w:ascii="Times New Roman" w:eastAsia="Times New Roman" w:hAnsi="Times New Roman" w:cs="Times New Roman"/>
          <w:sz w:val="24"/>
          <w:szCs w:val="24"/>
          <w:lang w:eastAsia="ru-RU"/>
        </w:rPr>
        <w:tab/>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добровольным, так и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1.37 Обязательное страхование третьих лиц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только личным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имущественным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как личным, так и имущественным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1.38 При добровольном страховании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свой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предпринимательского риска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жизни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здоровья</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 xml:space="preserve">- </w:t>
      </w:r>
      <w:r w:rsidRPr="001F2D94">
        <w:rPr>
          <w:rFonts w:ascii="Times New Roman" w:eastAsia="Times New Roman" w:hAnsi="Times New Roman" w:cs="Times New Roman"/>
          <w:sz w:val="24"/>
          <w:szCs w:val="24"/>
          <w:lang w:eastAsia="ru-RU"/>
        </w:rPr>
        <w:t>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требуется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в обязательном порядке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потребовать в административном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18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16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14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имеет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1.56 Замена выгодоприобретателя может иметь место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после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 страхового случая, так и после него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в случаях прямо предусмотренных в законе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самого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1.59 Выгодоприобретатель не может быть заменён, если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предъявил страховщику требование о страховой выплате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не предопределён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w:t>
      </w:r>
      <w:r w:rsidRPr="001F2D94">
        <w:rPr>
          <w:rFonts w:ascii="Times New Roman" w:eastAsia="Times New Roman" w:hAnsi="Times New Roman" w:cs="Times New Roman"/>
          <w:sz w:val="24"/>
          <w:szCs w:val="24"/>
          <w:lang w:eastAsia="ru-RU"/>
        </w:rPr>
        <w:lastRenderedPageBreak/>
        <w:t>страховые брокеры, страховые актуарии,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1.61 Не подлежит лицензированию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1.62 Подлежит аттестации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организаций</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брокеров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агентов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1.64 Страховщики вправе осуществлять </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любые виды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специальной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учредителей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законодателя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1.66 Организационно-правовые формы страховщика</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и ООО</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хозяйственные товарищества </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ООО или ОДО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группы</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возможность такого страхования предусмотрена законом</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наличие лицензии на страхование соответствующего вида</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в некоммерческой форме</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1.70 Признаки объединения страховщиков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объединение не отвечает по обязательствам своих членов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1.72 Признаки страхового пула</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не 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1.73 Признаки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страховой агент – это организации, </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все ответы верные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агента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актуария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w:t>
      </w:r>
      <w:r w:rsidRPr="001F2D94">
        <w:rPr>
          <w:rFonts w:ascii="Times New Roman" w:eastAsia="Times New Roman" w:hAnsi="Times New Roman" w:cs="Times New Roman"/>
          <w:sz w:val="24"/>
          <w:szCs w:val="24"/>
          <w:lang w:eastAsia="ru-RU"/>
        </w:rPr>
        <w:lastRenderedPageBreak/>
        <w:t>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актуарий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Ежемесячно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Ежеквартально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каждого финансового года</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календарного 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 – техник</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2 Государственное регулирование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правовое регулирование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2.2 </w:t>
      </w:r>
      <w:r w:rsidRPr="001F2D94">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обеспечение финансовой устойчивости и платежеспособности страховых организаций</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нормативный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индивидуальный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Прокуратурой</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Судом</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Правительством РФ</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Центральным Баком РФ</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2.6 Р</w:t>
      </w:r>
      <w:r w:rsidRPr="001F2D94">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одного года</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двух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трёх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одного года</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не менее двух лет </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трёх лет</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2.8 Страховой актуарий должен иметь </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финансовое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2.9 В</w:t>
      </w:r>
      <w:r w:rsidRPr="001F2D94">
        <w:rPr>
          <w:rFonts w:ascii="Times New Roman" w:eastAsia="Times New Roman" w:hAnsi="Times New Roman" w:cs="Times New Roman"/>
          <w:bCs/>
          <w:sz w:val="24"/>
          <w:szCs w:val="24"/>
          <w:lang w:eastAsia="ru-RU"/>
        </w:rPr>
        <w:t>ременная лицензия может выдаваться на срок</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от одного года до пяти лет при отсутствии информации, позволяющей достоверно оценить страховые риски, предусмотренные правилами страхования, </w:t>
      </w:r>
      <w:r w:rsidRPr="001F2D94">
        <w:rPr>
          <w:rFonts w:ascii="Times New Roman" w:eastAsia="Times New Roman" w:hAnsi="Times New Roman" w:cs="Times New Roman"/>
          <w:bCs/>
          <w:sz w:val="24"/>
          <w:szCs w:val="24"/>
          <w:lang w:eastAsia="ru-RU"/>
        </w:rPr>
        <w:lastRenderedPageBreak/>
        <w:t>представляемыми при лицензировании, а также в случаях, установленных страховым законодательством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1F2D94">
        <w:rPr>
          <w:rFonts w:ascii="Times New Roman" w:eastAsia="Times New Roman" w:hAnsi="Times New Roman" w:cs="Times New Roman"/>
          <w:bCs/>
          <w:sz w:val="24"/>
          <w:szCs w:val="24"/>
          <w:lang w:eastAsia="ru-RU"/>
        </w:rPr>
        <w:t xml:space="preserve"> – это</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i/>
          <w:sz w:val="24"/>
          <w:szCs w:val="24"/>
        </w:rPr>
        <w:t>Д</w:t>
      </w:r>
      <w:r w:rsidRPr="001F2D94">
        <w:rPr>
          <w:rFonts w:ascii="Times New Roman" w:eastAsia="Times New Roman" w:hAnsi="Times New Roman" w:cs="Times New Roman"/>
          <w:bCs/>
          <w:sz w:val="24"/>
          <w:szCs w:val="24"/>
          <w:lang w:eastAsia="ru-RU"/>
        </w:rPr>
        <w:t>иверсификации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rPr>
        <w:lastRenderedPageBreak/>
        <w:t xml:space="preserve">2.16 </w:t>
      </w:r>
      <w:r w:rsidRPr="001F2D94">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уставный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резервный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добавочный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распределеннуюприбыль</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Раздел 3 Гражданско-правовые основы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только одним страховщиком;</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односторонний,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страховой риск;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страховое возмещение;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оферта.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одного документа, подписанного сторонами;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вручении страхователю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3.5. Договор страхования вступает в силу: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первого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страховой премии полностью;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последнего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3.6. К видам договора страхования относятся: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личный;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имущественный;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добровольный;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обязательный;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все ответы верные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перестрахование;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-взаимное 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всегда, на любой стадии действия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w:t>
      </w:r>
      <w:r w:rsidRPr="001F2D94">
        <w:rPr>
          <w:rFonts w:ascii="Times New Roman" w:eastAsia="Times New Roman" w:hAnsi="Times New Roman" w:cs="Times New Roman"/>
          <w:bCs/>
          <w:sz w:val="24"/>
          <w:szCs w:val="24"/>
          <w:lang w:eastAsia="ru-RU"/>
        </w:rPr>
        <w:lastRenderedPageBreak/>
        <w:t xml:space="preserve">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3.14. Сострахование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признание его незаключенным.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3.18. Договор страхования может быть заключен: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составления одного документа;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освобождает страхователя от исполнения обязанностей по этому договору.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4 Отдельные виды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добровольного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обязательного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личного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 Экономические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массовость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всеоблемъемость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4.3 Юридические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4.4 Признаки добровольного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4.5 Юридические классификации  страхования предусматривают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часть первая ГК РФ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вторая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третья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4.9 Группа однородных и типизированных страховых отношений, выделяемых из общей массы страховых отношений спецификой объекта страхования, определяемого </w:t>
      </w:r>
      <w:r w:rsidRPr="001F2D94">
        <w:rPr>
          <w:rFonts w:ascii="Times New Roman" w:eastAsia="Times New Roman" w:hAnsi="Times New Roman" w:cs="Times New Roman"/>
          <w:sz w:val="24"/>
          <w:szCs w:val="24"/>
          <w:lang w:eastAsia="ru-RU"/>
        </w:rPr>
        <w:lastRenderedPageBreak/>
        <w:t>предметом страхования, и события, на случай наступления которого проводится данное страхование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имущественное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личное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4.11 </w:t>
      </w:r>
      <w:r w:rsidRPr="001F2D94">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неполноценным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4.21 Франшиза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xml:space="preserve">4.25 Застрахованное имущество является предметом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обязательного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4.26 Страховая сумма предусмотрена договором при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4.27 Договор страхования является</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 </w:t>
      </w:r>
      <w:r w:rsidRPr="001F2D94">
        <w:rPr>
          <w:rFonts w:ascii="Times New Roman" w:eastAsia="Times New Roman" w:hAnsi="Times New Roman" w:cs="Times New Roman"/>
          <w:iCs/>
          <w:color w:val="000000"/>
          <w:sz w:val="24"/>
          <w:szCs w:val="24"/>
          <w:lang w:eastAsia="ru-RU"/>
        </w:rPr>
        <w:t>возмездным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односторонним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многосторонним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реальным</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4.28 Страхование называется </w:t>
      </w:r>
      <w:r w:rsidRPr="001F2D94">
        <w:rPr>
          <w:rFonts w:ascii="Times New Roman" w:eastAsia="Times New Roman" w:hAnsi="Times New Roman" w:cs="Times New Roman"/>
          <w:iCs/>
          <w:color w:val="000000"/>
          <w:sz w:val="24"/>
          <w:szCs w:val="24"/>
          <w:lang w:eastAsia="ru-RU"/>
        </w:rPr>
        <w:t xml:space="preserve">сострахованием, если в </w:t>
      </w:r>
      <w:r w:rsidRPr="001F2D94">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страховщиков</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застрахованных лиц</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устного соглашения</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размере страховой суммы</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экспертной оценкой</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по балансовой стоимости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1 год</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2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3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5 лет</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lastRenderedPageBreak/>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факультативно-облигаторный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Default="001F2D94" w:rsidP="001F2D94">
      <w:pPr>
        <w:spacing w:after="0" w:line="240" w:lineRule="auto"/>
        <w:ind w:firstLine="709"/>
        <w:jc w:val="both"/>
        <w:rPr>
          <w:rFonts w:ascii="Times New Roman" w:eastAsia="Times New Roman" w:hAnsi="Times New Roman" w:cs="Times New Roman"/>
          <w:sz w:val="24"/>
          <w:szCs w:val="24"/>
        </w:rPr>
      </w:pPr>
    </w:p>
    <w:p w:rsidR="001F2D94" w:rsidRPr="00DB079B" w:rsidRDefault="001F2D94" w:rsidP="00E37A58">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w:t>
      </w:r>
      <w:r w:rsidRPr="00DB079B">
        <w:rPr>
          <w:rFonts w:ascii="Times New Roman" w:eastAsia="Times New Roman" w:hAnsi="Times New Roman" w:cs="Times New Roman"/>
          <w:sz w:val="24"/>
          <w:szCs w:val="24"/>
        </w:rPr>
        <w:lastRenderedPageBreak/>
        <w:t xml:space="preserve">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w:t>
      </w:r>
      <w:r w:rsidRPr="00DB079B">
        <w:rPr>
          <w:rFonts w:ascii="Times New Roman" w:eastAsia="Times New Roman" w:hAnsi="Times New Roman" w:cs="Times New Roman"/>
          <w:sz w:val="24"/>
          <w:szCs w:val="24"/>
        </w:rPr>
        <w:lastRenderedPageBreak/>
        <w:t xml:space="preserve">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w:t>
      </w:r>
      <w:r w:rsidRPr="00DB079B">
        <w:rPr>
          <w:rFonts w:ascii="Times New Roman" w:eastAsia="Times New Roman" w:hAnsi="Times New Roman" w:cs="Times New Roman"/>
          <w:sz w:val="24"/>
          <w:szCs w:val="24"/>
        </w:rPr>
        <w:lastRenderedPageBreak/>
        <w:t xml:space="preserve">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w:t>
      </w:r>
      <w:r w:rsidRPr="00DB079B">
        <w:rPr>
          <w:rFonts w:ascii="Times New Roman" w:eastAsia="Times New Roman" w:hAnsi="Times New Roman" w:cs="Times New Roman"/>
          <w:sz w:val="24"/>
          <w:szCs w:val="24"/>
        </w:rPr>
        <w:lastRenderedPageBreak/>
        <w:t xml:space="preserve">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w:t>
      </w:r>
      <w:r w:rsidRPr="00DB079B">
        <w:rPr>
          <w:rFonts w:ascii="Times New Roman" w:eastAsia="Times New Roman" w:hAnsi="Times New Roman" w:cs="Times New Roman"/>
          <w:sz w:val="24"/>
          <w:szCs w:val="24"/>
        </w:rPr>
        <w:lastRenderedPageBreak/>
        <w:t>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w:t>
      </w:r>
      <w:r w:rsidRPr="00DB079B">
        <w:rPr>
          <w:rFonts w:ascii="Times New Roman" w:eastAsia="Times New Roman" w:hAnsi="Times New Roman" w:cs="Times New Roman"/>
          <w:sz w:val="24"/>
          <w:szCs w:val="24"/>
        </w:rPr>
        <w:lastRenderedPageBreak/>
        <w:t>«Военная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w:t>
      </w:r>
      <w:r w:rsidRPr="00DB079B">
        <w:rPr>
          <w:rFonts w:ascii="Times New Roman" w:eastAsia="Times New Roman" w:hAnsi="Times New Roman" w:cs="Times New Roman"/>
          <w:sz w:val="24"/>
          <w:szCs w:val="24"/>
        </w:rPr>
        <w:lastRenderedPageBreak/>
        <w:t>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w:t>
      </w:r>
      <w:r w:rsidRPr="00DB079B">
        <w:rPr>
          <w:rFonts w:ascii="Times New Roman" w:eastAsia="Calibri" w:hAnsi="Times New Roman" w:cs="Times New Roman"/>
          <w:sz w:val="24"/>
          <w:szCs w:val="24"/>
        </w:rPr>
        <w:lastRenderedPageBreak/>
        <w:t xml:space="preserve">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Default="00F36DF5" w:rsidP="006276C9">
      <w:pPr>
        <w:spacing w:after="0" w:line="240" w:lineRule="auto"/>
        <w:ind w:firstLine="709"/>
        <w:jc w:val="both"/>
        <w:rPr>
          <w:rFonts w:ascii="Times New Roman" w:eastAsia="Calibri" w:hAnsi="Times New Roman" w:cs="Times New Roman"/>
          <w:sz w:val="24"/>
          <w:szCs w:val="24"/>
        </w:rPr>
      </w:pPr>
    </w:p>
    <w:p w:rsidR="001F2D94" w:rsidRPr="001F2D94" w:rsidRDefault="001F2D94" w:rsidP="006276C9">
      <w:pPr>
        <w:spacing w:after="0" w:line="240" w:lineRule="auto"/>
        <w:ind w:firstLine="709"/>
        <w:jc w:val="both"/>
        <w:rPr>
          <w:rFonts w:ascii="Times New Roman" w:eastAsia="Calibri" w:hAnsi="Times New Roman" w:cs="Times New Roman"/>
          <w:b/>
          <w:sz w:val="24"/>
          <w:szCs w:val="24"/>
        </w:rPr>
      </w:pPr>
      <w:r w:rsidRPr="001F2D94">
        <w:rPr>
          <w:rFonts w:ascii="Times New Roman" w:eastAsia="Calibri" w:hAnsi="Times New Roman" w:cs="Times New Roman"/>
          <w:b/>
          <w:sz w:val="24"/>
          <w:szCs w:val="24"/>
        </w:rPr>
        <w:t>Примерные задания контрольной работы:</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Раскрыть содержание теоретического вопроса: «Финансовая сущность страхования».</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Заполните таблицу «Различие между страховым агентом и страховым брокером»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3095"/>
        <w:gridCol w:w="3096"/>
        <w:gridCol w:w="3096"/>
      </w:tblGrid>
      <w:tr w:rsidR="001F2D94" w:rsidRPr="001F2D94" w:rsidTr="00AB2284">
        <w:tc>
          <w:tcPr>
            <w:tcW w:w="3095" w:type="dxa"/>
          </w:tcPr>
          <w:p w:rsidR="001F2D94" w:rsidRPr="001F2D94" w:rsidRDefault="001F2D94" w:rsidP="001F2D94">
            <w:pPr>
              <w:jc w:val="center"/>
              <w:rPr>
                <w:sz w:val="24"/>
                <w:szCs w:val="24"/>
              </w:rPr>
            </w:pPr>
            <w:r w:rsidRPr="001F2D94">
              <w:rPr>
                <w:sz w:val="24"/>
                <w:szCs w:val="24"/>
              </w:rPr>
              <w:t>Признак</w:t>
            </w:r>
          </w:p>
        </w:tc>
        <w:tc>
          <w:tcPr>
            <w:tcW w:w="3096" w:type="dxa"/>
          </w:tcPr>
          <w:p w:rsidR="001F2D94" w:rsidRPr="001F2D94" w:rsidRDefault="001F2D94" w:rsidP="001F2D94">
            <w:pPr>
              <w:jc w:val="center"/>
              <w:rPr>
                <w:sz w:val="24"/>
                <w:szCs w:val="24"/>
              </w:rPr>
            </w:pPr>
            <w:r w:rsidRPr="001F2D94">
              <w:rPr>
                <w:sz w:val="24"/>
                <w:szCs w:val="24"/>
              </w:rPr>
              <w:t>Страховой агент</w:t>
            </w:r>
          </w:p>
        </w:tc>
        <w:tc>
          <w:tcPr>
            <w:tcW w:w="3096" w:type="dxa"/>
          </w:tcPr>
          <w:p w:rsidR="001F2D94" w:rsidRPr="001F2D94" w:rsidRDefault="001F2D94" w:rsidP="001F2D94">
            <w:pPr>
              <w:jc w:val="center"/>
              <w:rPr>
                <w:sz w:val="24"/>
                <w:szCs w:val="24"/>
              </w:rPr>
            </w:pPr>
            <w:r w:rsidRPr="001F2D94">
              <w:rPr>
                <w:sz w:val="24"/>
                <w:szCs w:val="24"/>
              </w:rPr>
              <w:t>Страховой брокер</w:t>
            </w: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Основная клиентура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Функционирование</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Юридическая характеристика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Регламентация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Размещение рисков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Соглашение страхователя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lastRenderedPageBreak/>
              <w:t>Принадлежность страхового портфеля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bl>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Предприниматель Ружников, заключивший в 2014 году в г. Бузулуке со страховой компанией ООО «РН-АКБ»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Обоснован ли отказ страховщика?</w:t>
      </w: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страхователь продать другому лицу свой страховой полис на предъявителя?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лицо, купившее страховой полис на предъявителя, требовать по нему возмещение своих убытков от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 каком случае договор страхования имущества будет недействительным?</w:t>
      </w:r>
    </w:p>
    <w:p w:rsidR="001F2D94" w:rsidRPr="001F2D94" w:rsidRDefault="001F2D94" w:rsidP="00A626D5">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 основании данных задачи № 3 составить договор страхования от несчастных случаев</w:t>
      </w:r>
      <w:r>
        <w:rPr>
          <w:rFonts w:ascii="Times New Roman" w:eastAsia="Times New Roman" w:hAnsi="Times New Roman" w:cs="Times New Roman"/>
          <w:sz w:val="24"/>
          <w:szCs w:val="24"/>
          <w:lang w:eastAsia="ru-RU"/>
        </w:rPr>
        <w:t>.</w:t>
      </w:r>
    </w:p>
    <w:p w:rsidR="001F2D94" w:rsidRDefault="001F2D94" w:rsidP="006276C9">
      <w:pPr>
        <w:spacing w:after="0" w:line="240" w:lineRule="auto"/>
        <w:ind w:firstLine="709"/>
        <w:jc w:val="both"/>
        <w:rPr>
          <w:rFonts w:ascii="Times New Roman" w:eastAsia="Calibri" w:hAnsi="Times New Roman" w:cs="Times New Roman"/>
          <w:sz w:val="24"/>
          <w:szCs w:val="24"/>
        </w:rPr>
      </w:pPr>
    </w:p>
    <w:p w:rsidR="001F2D94" w:rsidRPr="00DB079B" w:rsidRDefault="001F2D94"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Договор страхования: заключение, действие, прекращение.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 xml:space="preserve">отдельные неточности, </w:t>
            </w:r>
            <w:r w:rsidRPr="00EF542A">
              <w:rPr>
                <w:sz w:val="24"/>
                <w:szCs w:val="24"/>
              </w:rPr>
              <w:lastRenderedPageBreak/>
              <w:t>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lastRenderedPageBreak/>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 xml:space="preserve">выполняет все необходимые подготовительные действия, участвует в проведении деловой игры, однако с </w:t>
            </w:r>
            <w:r w:rsidRPr="00C20E14">
              <w:rPr>
                <w:sz w:val="24"/>
                <w:szCs w:val="24"/>
              </w:rPr>
              <w:lastRenderedPageBreak/>
              <w:t>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w:t>
      </w:r>
      <w:r>
        <w:rPr>
          <w:rFonts w:ascii="Times New Roman" w:eastAsia="Times New Roman" w:hAnsi="Times New Roman" w:cs="Times New Roman"/>
          <w:sz w:val="24"/>
          <w:szCs w:val="24"/>
        </w:rPr>
        <w:lastRenderedPageBreak/>
        <w:t xml:space="preserve">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bookmarkStart w:id="0" w:name="_GoBack"/>
      <w:bookmarkEnd w:id="0"/>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заданий (таблиц), а также составление юридического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выполнено задание и неверно решена задача;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 теоретический вопрос, либо раскрыт на основе норм устаревшего законодательства.</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D5" w:rsidRDefault="00A626D5" w:rsidP="00A13401">
      <w:pPr>
        <w:spacing w:after="0" w:line="240" w:lineRule="auto"/>
      </w:pPr>
      <w:r>
        <w:separator/>
      </w:r>
    </w:p>
  </w:endnote>
  <w:endnote w:type="continuationSeparator" w:id="0">
    <w:p w:rsidR="00A626D5" w:rsidRDefault="00A626D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1F2D94">
          <w:rPr>
            <w:noProof/>
          </w:rPr>
          <w:t>43</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D5" w:rsidRDefault="00A626D5" w:rsidP="00A13401">
      <w:pPr>
        <w:spacing w:after="0" w:line="240" w:lineRule="auto"/>
      </w:pPr>
      <w:r>
        <w:separator/>
      </w:r>
    </w:p>
  </w:footnote>
  <w:footnote w:type="continuationSeparator" w:id="0">
    <w:p w:rsidR="00A626D5" w:rsidRDefault="00A626D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7"/>
  </w:num>
  <w:num w:numId="4">
    <w:abstractNumId w:val="28"/>
  </w:num>
  <w:num w:numId="5">
    <w:abstractNumId w:val="24"/>
  </w:num>
  <w:num w:numId="6">
    <w:abstractNumId w:val="45"/>
  </w:num>
  <w:num w:numId="7">
    <w:abstractNumId w:val="18"/>
  </w:num>
  <w:num w:numId="8">
    <w:abstractNumId w:val="10"/>
  </w:num>
  <w:num w:numId="9">
    <w:abstractNumId w:val="8"/>
  </w:num>
  <w:num w:numId="10">
    <w:abstractNumId w:val="38"/>
  </w:num>
  <w:num w:numId="11">
    <w:abstractNumId w:val="27"/>
  </w:num>
  <w:num w:numId="12">
    <w:abstractNumId w:val="16"/>
  </w:num>
  <w:num w:numId="13">
    <w:abstractNumId w:val="15"/>
  </w:num>
  <w:num w:numId="14">
    <w:abstractNumId w:val="47"/>
  </w:num>
  <w:num w:numId="15">
    <w:abstractNumId w:val="41"/>
  </w:num>
  <w:num w:numId="16">
    <w:abstractNumId w:val="26"/>
  </w:num>
  <w:num w:numId="17">
    <w:abstractNumId w:val="35"/>
  </w:num>
  <w:num w:numId="18">
    <w:abstractNumId w:val="20"/>
  </w:num>
  <w:num w:numId="19">
    <w:abstractNumId w:val="32"/>
  </w:num>
  <w:num w:numId="20">
    <w:abstractNumId w:val="31"/>
  </w:num>
  <w:num w:numId="21">
    <w:abstractNumId w:val="42"/>
  </w:num>
  <w:num w:numId="22">
    <w:abstractNumId w:val="17"/>
  </w:num>
  <w:num w:numId="23">
    <w:abstractNumId w:val="4"/>
  </w:num>
  <w:num w:numId="24">
    <w:abstractNumId w:val="48"/>
  </w:num>
  <w:num w:numId="25">
    <w:abstractNumId w:val="5"/>
  </w:num>
  <w:num w:numId="26">
    <w:abstractNumId w:val="49"/>
  </w:num>
  <w:num w:numId="27">
    <w:abstractNumId w:val="33"/>
  </w:num>
  <w:num w:numId="28">
    <w:abstractNumId w:val="25"/>
  </w:num>
  <w:num w:numId="29">
    <w:abstractNumId w:val="37"/>
  </w:num>
  <w:num w:numId="30">
    <w:abstractNumId w:val="13"/>
  </w:num>
  <w:num w:numId="31">
    <w:abstractNumId w:val="29"/>
  </w:num>
  <w:num w:numId="32">
    <w:abstractNumId w:val="14"/>
  </w:num>
  <w:num w:numId="33">
    <w:abstractNumId w:val="30"/>
  </w:num>
  <w:num w:numId="34">
    <w:abstractNumId w:val="39"/>
  </w:num>
  <w:num w:numId="35">
    <w:abstractNumId w:val="3"/>
  </w:num>
  <w:num w:numId="36">
    <w:abstractNumId w:val="2"/>
  </w:num>
  <w:num w:numId="37">
    <w:abstractNumId w:val="34"/>
  </w:num>
  <w:num w:numId="38">
    <w:abstractNumId w:val="44"/>
  </w:num>
  <w:num w:numId="39">
    <w:abstractNumId w:val="22"/>
  </w:num>
  <w:num w:numId="40">
    <w:abstractNumId w:val="23"/>
  </w:num>
  <w:num w:numId="41">
    <w:abstractNumId w:val="6"/>
  </w:num>
  <w:num w:numId="42">
    <w:abstractNumId w:val="19"/>
  </w:num>
  <w:num w:numId="43">
    <w:abstractNumId w:val="9"/>
  </w:num>
  <w:num w:numId="44">
    <w:abstractNumId w:val="43"/>
  </w:num>
  <w:num w:numId="45">
    <w:abstractNumId w:val="40"/>
  </w:num>
  <w:num w:numId="46">
    <w:abstractNumId w:val="36"/>
  </w:num>
  <w:num w:numId="47">
    <w:abstractNumId w:val="46"/>
  </w:num>
  <w:num w:numId="48">
    <w:abstractNumId w:val="21"/>
  </w:num>
  <w:num w:numId="49">
    <w:abstractNumId w:val="1"/>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2D94"/>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5051"/>
    <w:rsid w:val="008A2A56"/>
    <w:rsid w:val="008C3020"/>
    <w:rsid w:val="008E6D04"/>
    <w:rsid w:val="008F0130"/>
    <w:rsid w:val="0095610E"/>
    <w:rsid w:val="00964E43"/>
    <w:rsid w:val="00A109AE"/>
    <w:rsid w:val="00A13401"/>
    <w:rsid w:val="00A13CF5"/>
    <w:rsid w:val="00A626D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7E75-A602-45F1-9333-58D008A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1F2D9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1F2D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1F2D9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1F2D94"/>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1F2D94"/>
  </w:style>
  <w:style w:type="paragraph" w:styleId="25">
    <w:name w:val="Body Text 2"/>
    <w:basedOn w:val="a"/>
    <w:link w:val="26"/>
    <w:rsid w:val="001F2D94"/>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1F2D94"/>
    <w:rPr>
      <w:rFonts w:ascii="Times New Roman" w:eastAsia="Times New Roman" w:hAnsi="Times New Roman" w:cs="Times New Roman"/>
      <w:sz w:val="20"/>
      <w:szCs w:val="20"/>
    </w:rPr>
  </w:style>
  <w:style w:type="numbering" w:customStyle="1" w:styleId="110">
    <w:name w:val="Нет списка11"/>
    <w:next w:val="a2"/>
    <w:semiHidden/>
    <w:unhideWhenUsed/>
    <w:rsid w:val="001F2D94"/>
  </w:style>
  <w:style w:type="paragraph" w:customStyle="1" w:styleId="ConsPlusNormal">
    <w:name w:val="ConsPlusNormal"/>
    <w:rsid w:val="001F2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1F2D94"/>
    <w:rPr>
      <w:rFonts w:ascii="Times New Roman" w:eastAsia="Times New Roman" w:hAnsi="Times New Roman" w:cs="Times New Roman"/>
      <w:sz w:val="20"/>
      <w:szCs w:val="20"/>
    </w:rPr>
  </w:style>
  <w:style w:type="character" w:styleId="afe">
    <w:name w:val="Emphasis"/>
    <w:qFormat/>
    <w:rsid w:val="001F2D94"/>
    <w:rPr>
      <w:i/>
      <w:iCs/>
    </w:rPr>
  </w:style>
  <w:style w:type="numbering" w:customStyle="1" w:styleId="210">
    <w:name w:val="Нет списка21"/>
    <w:next w:val="a2"/>
    <w:semiHidden/>
    <w:unhideWhenUsed/>
    <w:rsid w:val="001F2D94"/>
  </w:style>
  <w:style w:type="paragraph" w:customStyle="1" w:styleId="ConsNonformat">
    <w:name w:val="ConsNonformat"/>
    <w:rsid w:val="001F2D9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1F2D94"/>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table" w:customStyle="1" w:styleId="3">
    <w:name w:val="Сетка таблицы3"/>
    <w:basedOn w:val="a1"/>
    <w:next w:val="a9"/>
    <w:uiPriority w:val="59"/>
    <w:rsid w:val="001F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2D0B-B34D-42E4-A632-798031DA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15888</Words>
  <Characters>90565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49</cp:revision>
  <cp:lastPrinted>2019-10-30T07:33:00Z</cp:lastPrinted>
  <dcterms:created xsi:type="dcterms:W3CDTF">2019-02-26T13:15:00Z</dcterms:created>
  <dcterms:modified xsi:type="dcterms:W3CDTF">2019-12-04T10:21:00Z</dcterms:modified>
</cp:coreProperties>
</file>