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18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1742EF" w:rsidRDefault="001742EF" w:rsidP="00174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 w:rsidRPr="001742EF">
        <w:rPr>
          <w:rFonts w:ascii="Times New Roman" w:eastAsia="Calibri" w:hAnsi="Times New Roman" w:cs="Times New Roman"/>
          <w:b/>
          <w:sz w:val="52"/>
          <w:szCs w:val="36"/>
        </w:rPr>
        <w:t>Педагогика дошкольного образов</w:t>
      </w:r>
      <w:r w:rsidRPr="001742EF">
        <w:rPr>
          <w:rFonts w:ascii="Times New Roman" w:eastAsia="Calibri" w:hAnsi="Times New Roman" w:cs="Times New Roman"/>
          <w:b/>
          <w:sz w:val="52"/>
          <w:szCs w:val="36"/>
        </w:rPr>
        <w:t>а</w:t>
      </w:r>
      <w:r w:rsidRPr="001742EF">
        <w:rPr>
          <w:rFonts w:ascii="Times New Roman" w:eastAsia="Calibri" w:hAnsi="Times New Roman" w:cs="Times New Roman"/>
          <w:b/>
          <w:sz w:val="52"/>
          <w:szCs w:val="36"/>
        </w:rPr>
        <w:t xml:space="preserve">ния. </w:t>
      </w:r>
    </w:p>
    <w:p w:rsidR="00466CFA" w:rsidRPr="001742EF" w:rsidRDefault="001742EF" w:rsidP="00174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1742EF">
        <w:rPr>
          <w:rFonts w:ascii="Times New Roman" w:eastAsia="Calibri" w:hAnsi="Times New Roman" w:cs="Times New Roman"/>
          <w:b/>
          <w:sz w:val="48"/>
          <w:szCs w:val="36"/>
        </w:rPr>
        <w:t>Введение в педагогическую деятел</w:t>
      </w:r>
      <w:r w:rsidRPr="001742EF">
        <w:rPr>
          <w:rFonts w:ascii="Times New Roman" w:eastAsia="Calibri" w:hAnsi="Times New Roman" w:cs="Times New Roman"/>
          <w:b/>
          <w:sz w:val="48"/>
          <w:szCs w:val="36"/>
        </w:rPr>
        <w:t>ь</w:t>
      </w:r>
      <w:r w:rsidRPr="001742EF">
        <w:rPr>
          <w:rFonts w:ascii="Times New Roman" w:eastAsia="Calibri" w:hAnsi="Times New Roman" w:cs="Times New Roman"/>
          <w:b/>
          <w:sz w:val="48"/>
          <w:szCs w:val="36"/>
        </w:rPr>
        <w:t>ность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7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822"/>
        <w:gridCol w:w="8510"/>
      </w:tblGrid>
      <w:tr w:rsidR="00632869" w:rsidRPr="00632869" w:rsidTr="00182B86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1742EF" w:rsidP="001742E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2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дошкольного образования. Введение в педагогическую деятельность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«</w:t>
      </w:r>
      <w:r w:rsidR="001742EF" w:rsidRPr="001742EF">
        <w:rPr>
          <w:rFonts w:ascii="Times New Roman" w:eastAsia="Calibri" w:hAnsi="Times New Roman" w:cs="Times New Roman"/>
          <w:bCs/>
          <w:sz w:val="28"/>
          <w:szCs w:val="28"/>
        </w:rPr>
        <w:t>Педагогика дошкольного образования. 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ятельной работы, рекомендации по изучению теоретических основ дисципл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1742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742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proofErr w:type="spellStart"/>
      <w:r w:rsidRPr="001742EF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 содержания дошкольного образования предъявляет высокие требования к организации педагогического процесса, ориентирует на поиск конструктивных форм взаимодействия и внедрение инновационных те</w:t>
      </w:r>
      <w:r w:rsidRPr="001742EF">
        <w:rPr>
          <w:rFonts w:ascii="Times New Roman" w:eastAsia="Calibri" w:hAnsi="Times New Roman" w:cs="Times New Roman"/>
          <w:sz w:val="28"/>
          <w:szCs w:val="28"/>
        </w:rPr>
        <w:t>х</w:t>
      </w:r>
      <w:r w:rsidRPr="001742EF">
        <w:rPr>
          <w:rFonts w:ascii="Times New Roman" w:eastAsia="Calibri" w:hAnsi="Times New Roman" w:cs="Times New Roman"/>
          <w:sz w:val="28"/>
          <w:szCs w:val="28"/>
        </w:rPr>
        <w:t>нологий обучения, воспитания и развития детей дошкольного возраста.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Инновационные процессы дошкольного образования осуществляются на основе личностно-ориентированного подхода, в рамках которого проходит с</w:t>
      </w:r>
      <w:r w:rsidRPr="001742EF">
        <w:rPr>
          <w:rFonts w:ascii="Times New Roman" w:eastAsia="Calibri" w:hAnsi="Times New Roman" w:cs="Times New Roman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sz w:val="28"/>
          <w:szCs w:val="28"/>
        </w:rPr>
        <w:t>циализация и развитие ребенка с учетом его индивидуальных особенностей и способностей.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Современные педагогические технологии определяют содержание д</w:t>
      </w:r>
      <w:r w:rsidRPr="001742EF">
        <w:rPr>
          <w:rFonts w:ascii="Times New Roman" w:eastAsia="Calibri" w:hAnsi="Times New Roman" w:cs="Times New Roman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sz w:val="28"/>
          <w:szCs w:val="28"/>
        </w:rPr>
        <w:t>школьного образования, структуру педагогической деятельности, организацию развивающей среды ДОУ.</w:t>
      </w:r>
    </w:p>
    <w:p w:rsid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Успешность содержательного реформирования деятельности детских с</w:t>
      </w:r>
      <w:r w:rsidRPr="001742EF">
        <w:rPr>
          <w:rFonts w:ascii="Times New Roman" w:eastAsia="Calibri" w:hAnsi="Times New Roman" w:cs="Times New Roman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дов связывается с задачей формирования профессиональной идентичности, т. е. развития у студентов адекватной инновационным тенденциям </w:t>
      </w:r>
      <w:proofErr w:type="spellStart"/>
      <w:r w:rsidRPr="001742EF">
        <w:rPr>
          <w:rFonts w:ascii="Times New Roman" w:eastAsia="Calibri" w:hAnsi="Times New Roman" w:cs="Times New Roman"/>
          <w:sz w:val="28"/>
          <w:szCs w:val="28"/>
        </w:rPr>
        <w:t>самоконцепции</w:t>
      </w:r>
      <w:proofErr w:type="spellEnd"/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 личности воспитателя-профессионала на базе единства научной теории и пра</w:t>
      </w:r>
      <w:r w:rsidRPr="001742EF">
        <w:rPr>
          <w:rFonts w:ascii="Times New Roman" w:eastAsia="Calibri" w:hAnsi="Times New Roman" w:cs="Times New Roman"/>
          <w:sz w:val="28"/>
          <w:szCs w:val="28"/>
        </w:rPr>
        <w:t>к</w:t>
      </w:r>
      <w:r w:rsidRPr="001742EF">
        <w:rPr>
          <w:rFonts w:ascii="Times New Roman" w:eastAsia="Calibri" w:hAnsi="Times New Roman" w:cs="Times New Roman"/>
          <w:sz w:val="28"/>
          <w:szCs w:val="28"/>
        </w:rPr>
        <w:t>тики.</w:t>
      </w:r>
      <w:r w:rsidRPr="001742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 дошкольного образования. Введение в педагогич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скую деятельность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теор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тического материала учебного курса, а также развитию, формированию и 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новлению различных уровней составляющих профессиональной компетентн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нео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sz w:val="28"/>
          <w:szCs w:val="28"/>
        </w:rPr>
        <w:t>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742EF" w:rsidRDefault="001742EF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</w:t>
      </w: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систематиз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трольные вопросы; аналитическая обработка текста (аннотирование, реценз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обучающийся должен гот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виться к лекции, т.к. заранее ознакомившись с материалом предстоящего зан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литерат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мы, таблицы, диаграммы и т.д. Нужно иметь в виду, что изучение и отработка прослушанных лекций без промедления значительно экономит время и спосо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жен быть аккуратным, хорошо читаемым, не содержать, не относящиеся к теме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 Объем конспекта определяется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Работу с литературой следует начинать с анализа рабочей программы ди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циплины, в которой перечислены основная и дополнительная литература, уче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лению или алфавитному указателю, а также одноименный раздел конспекта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турой не только полезна как средство более глубокого изучения любой дисц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 по дисциплине проводятся с целью углубления и з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крепления знаний, полученных на лекциях и в процессе самостоятельной раб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отрабатывали на них практические действия по решению пробле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ной целью такого рода занятий является: научить обучающихся применению теоретич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деятел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мого материала, уточняются позиции авторов научных концепций, рассматр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ваются нормативно-правовые и этические основы деятельности будущего сп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тическим проблемам науки, оформляется собственная позиция будущего сп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препод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ватель вправе задавать друг другу вопросы, которые возникли или могут во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з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студе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E459D8" w:rsidRPr="00632869" w:rsidRDefault="000B41F9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 дошкольного образования.</w:t>
      </w:r>
      <w:proofErr w:type="gramEnd"/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Введение в педагогическую деятельность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лукский</w:t>
      </w:r>
      <w:proofErr w:type="spell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 – Бузулук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74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сещение лекционных и практических занятий, так как пропуск одного (тем б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лее, нескольких) занятий может осложнить освоение разделов курса. На пра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тических занятиях материал, изложенный на лекциях, закрепляется при подг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товке доклада и защите реферата. </w:t>
      </w:r>
    </w:p>
    <w:p w:rsidR="001742EF" w:rsidRPr="001742EF" w:rsidRDefault="001742EF" w:rsidP="00174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среди разнообразных форм контроля в учебном процессе стали активно прим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мого студента. Впрочем, тестирование не может заменить собой другие педаг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гические средства контроля, используемые сегодня преподавателями. В их 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сенале остаются устные экзамены, контрольные работы, опросы студентов и другие разнообразные средства. Они обладают своими преимуществами и 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достатками и посему они наиболее эффективны при их комплексном примен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нии в учебной практике. По этой причине каждое из перечисленных сре</w:t>
      </w:r>
      <w:proofErr w:type="gram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1742EF" w:rsidRPr="001742EF" w:rsidRDefault="001742EF" w:rsidP="00174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вателю и самому студенту при самоконтроле провести объективную и незав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симую оценку уровня знаний в соответствии с общими образовательными тр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тизма с минимальными временными затратами. При проведении тестирования степень сложности предлагаемых вопросов определяются преподавателем в 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висимости от уровня подготовленности группы. Однако все варианты тестовых заданий содержат группы вопросов по различным эпохам отечественной ист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рии, что предполагает наличие у студентов знаний по всему курсу.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тов и уровень освоения ими учебного материала. Тесты представлены по всем темам, изучаемым в рамках программы. Тестовый материал можно использ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вать: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го контроля на семинарских занятиях;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всего, следует внимательно прочитать поставленный вопрос. После ознакомл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ния с вопросом следует приступать к прочтению предлагаемых вариантов отв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та. Необходимо прочитать все варианты и в качестве ответа следует выбрать лишь один индекс (цифровое обозначение), соответствующий правильному 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вету. Тесты составлены таким образом, что в каждом из них, как правило, пр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вильным является лишь один из вариантов. Выбор должен быть сделан в пользу наиболее правильного ответа.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можного количества баллов текущей успеваемости.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проанал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зировать допущенные ошибки, прокомментировать имеющиеся в тестах непр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сти; если студент свободно  оперирует лингвистическими   законами;  анализ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рует языковые и правовые явления, используя различные источники информ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ции; делает творчески обоснованные выводы. Допускается одна-две несущ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сти; если студент умеет оперировать  лингвистическими   законами;  анализ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рует языковые и правовые явления;  делает обоснованные выводы. Допускаю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 «да»,  «нет»; аргументация отсутствует либо ошибочны ее основные п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возможно,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стично, нет достаточного обоснования или при выполнении  допущены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выпо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док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использов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заменационного билета, свободное владение основными терминами и поняти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 курса, последовательное и логичное изложение материала курса; законче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выводы и обобщения по теме вопросов; исчерпывающие ответы на вопр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заменационного билета, знание основных терминов и понятий курса; послед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изложение материала курса; умение формулировать некоторые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 и понятий курса; удовлетворительное знание и владение методами и средствами решения задач; недостаточно последовательное изложение матер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курса; умение формулировать отдельные выводы и обобщения по теме в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1742E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8C" w:rsidRDefault="001D1E8C" w:rsidP="00817BE6">
      <w:pPr>
        <w:spacing w:after="0" w:line="240" w:lineRule="auto"/>
      </w:pPr>
      <w:r>
        <w:separator/>
      </w:r>
    </w:p>
  </w:endnote>
  <w:endnote w:type="continuationSeparator" w:id="0">
    <w:p w:rsidR="001D1E8C" w:rsidRDefault="001D1E8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Content>
      <w:p w:rsidR="00182B86" w:rsidRDefault="00182B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2B86" w:rsidRDefault="00182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8C" w:rsidRDefault="001D1E8C" w:rsidP="00817BE6">
      <w:pPr>
        <w:spacing w:after="0" w:line="240" w:lineRule="auto"/>
      </w:pPr>
      <w:r>
        <w:separator/>
      </w:r>
    </w:p>
  </w:footnote>
  <w:footnote w:type="continuationSeparator" w:id="0">
    <w:p w:rsidR="001D1E8C" w:rsidRDefault="001D1E8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B0D1C"/>
    <w:rsid w:val="000B41F9"/>
    <w:rsid w:val="000E6D5B"/>
    <w:rsid w:val="000E6F4F"/>
    <w:rsid w:val="000F6DC6"/>
    <w:rsid w:val="00151C92"/>
    <w:rsid w:val="001742EF"/>
    <w:rsid w:val="00182B86"/>
    <w:rsid w:val="001A6D1C"/>
    <w:rsid w:val="001B1A33"/>
    <w:rsid w:val="001C3067"/>
    <w:rsid w:val="001D1E8C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ECE1-E97F-4A7C-8275-95FF30A2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dcterms:created xsi:type="dcterms:W3CDTF">2016-10-09T16:26:00Z</dcterms:created>
  <dcterms:modified xsi:type="dcterms:W3CDTF">2019-11-05T15:46:00Z</dcterms:modified>
</cp:coreProperties>
</file>