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обучению русскому языку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403FF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5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0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D5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504D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русскому языку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>ния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03FF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D504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D504D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1501ED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bottom w:val="single" w:sz="4" w:space="0" w:color="auto"/>
            </w:tcBorders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</w:t>
      </w:r>
      <w:r w:rsidR="00295FA6">
        <w:rPr>
          <w:sz w:val="28"/>
          <w:szCs w:val="28"/>
        </w:rPr>
        <w:t>р</w:t>
      </w:r>
      <w:r w:rsidR="00295FA6">
        <w:rPr>
          <w:sz w:val="28"/>
          <w:szCs w:val="28"/>
        </w:rPr>
        <w:t>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сиональным навыкам, знаниям, эрудиции требуется широкий кругозор, умение видеть тенденции, перспективы развития мира, понимание сути т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лингвистического</w:t>
      </w:r>
      <w:r w:rsidR="00E84A4D">
        <w:rPr>
          <w:sz w:val="28"/>
          <w:szCs w:val="28"/>
        </w:rPr>
        <w:t xml:space="preserve"> мышл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ным дисциплинам (русский язык) в начальной школе. 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ские  и практические знания в области преподавания русского языка как предмета школьного обучения.</w:t>
      </w:r>
    </w:p>
    <w:p w:rsidR="00DE1BD0" w:rsidRPr="00DE1BD0" w:rsidRDefault="00DE1BD0" w:rsidP="00DE1BD0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 xml:space="preserve">освоения дисциплины </w:t>
      </w:r>
      <w:r>
        <w:rPr>
          <w:color w:val="000000"/>
          <w:sz w:val="24"/>
          <w:szCs w:val="28"/>
        </w:rPr>
        <w:t xml:space="preserve">выражены </w:t>
      </w:r>
      <w:proofErr w:type="gramStart"/>
      <w:r>
        <w:rPr>
          <w:color w:val="000000"/>
          <w:sz w:val="24"/>
          <w:szCs w:val="28"/>
        </w:rPr>
        <w:t>в</w:t>
      </w:r>
      <w:proofErr w:type="gramEnd"/>
      <w:r>
        <w:rPr>
          <w:color w:val="000000"/>
          <w:sz w:val="24"/>
          <w:szCs w:val="28"/>
        </w:rPr>
        <w:t>: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-</w:t>
      </w:r>
      <w:proofErr w:type="gramStart"/>
      <w:r>
        <w:rPr>
          <w:sz w:val="24"/>
          <w:szCs w:val="28"/>
        </w:rPr>
        <w:t>формировании</w:t>
      </w:r>
      <w:proofErr w:type="gramEnd"/>
      <w:r>
        <w:rPr>
          <w:sz w:val="24"/>
          <w:szCs w:val="28"/>
        </w:rPr>
        <w:t xml:space="preserve"> системы знаний и умений теоретических основ современной пед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гогической науки; 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proofErr w:type="gramStart"/>
      <w:r>
        <w:rPr>
          <w:sz w:val="24"/>
          <w:szCs w:val="28"/>
        </w:rPr>
        <w:t>совершенствовании</w:t>
      </w:r>
      <w:proofErr w:type="gramEnd"/>
      <w:r>
        <w:rPr>
          <w:sz w:val="24"/>
          <w:szCs w:val="28"/>
        </w:rPr>
        <w:t xml:space="preserve"> профессионально-методических умений;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proofErr w:type="gramStart"/>
      <w:r>
        <w:rPr>
          <w:sz w:val="24"/>
          <w:szCs w:val="28"/>
        </w:rPr>
        <w:t>обучении</w:t>
      </w:r>
      <w:proofErr w:type="gramEnd"/>
      <w:r>
        <w:rPr>
          <w:sz w:val="24"/>
          <w:szCs w:val="28"/>
        </w:rPr>
        <w:t xml:space="preserve"> самостоятельной работе, самообразованию, изучению и анализу  нау</w:t>
      </w:r>
      <w:r>
        <w:rPr>
          <w:sz w:val="24"/>
          <w:szCs w:val="28"/>
        </w:rPr>
        <w:t>ч</w:t>
      </w:r>
      <w:r>
        <w:rPr>
          <w:sz w:val="24"/>
          <w:szCs w:val="28"/>
        </w:rPr>
        <w:t>ной и учебно-методической литературы;</w:t>
      </w:r>
    </w:p>
    <w:p w:rsidR="00B93A08" w:rsidRPr="00DE1BD0" w:rsidRDefault="00DE1BD0" w:rsidP="00DE1BD0">
      <w:pPr>
        <w:ind w:firstLine="709"/>
        <w:jc w:val="both"/>
        <w:rPr>
          <w:b/>
        </w:rPr>
      </w:pPr>
      <w:r>
        <w:rPr>
          <w:sz w:val="24"/>
          <w:szCs w:val="28"/>
        </w:rPr>
        <w:t>- в подготовке к творческой профессиональной деятельности (изучению передов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го опыта, новых образовательных технологий) 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363BE3" w:rsidRDefault="00363BE3" w:rsidP="00363BE3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Б.1.Б.11.2 Психология развития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P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suppressAutoHyphens/>
        <w:ind w:firstLine="709"/>
        <w:jc w:val="both"/>
      </w:pPr>
      <w:r>
        <w:lastRenderedPageBreak/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D3264" w:rsidTr="00BD326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использовать современные методы и технологии обучения и диагностики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</w:t>
            </w:r>
            <w:r>
              <w:rPr>
                <w:rFonts w:eastAsia="Times New Roman"/>
              </w:rPr>
              <w:lastRenderedPageBreak/>
              <w:t xml:space="preserve">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ПК-4 способность использовать возможности образовательной среды для </w:t>
            </w:r>
            <w:r>
              <w:rPr>
                <w:rFonts w:eastAsia="Times New Roman"/>
              </w:rPr>
              <w:lastRenderedPageBreak/>
              <w:t xml:space="preserve">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D3264" w:rsidRDefault="00BD3264" w:rsidP="00BD3264">
      <w:pPr>
        <w:pStyle w:val="ReportMain"/>
        <w:suppressAutoHyphens/>
        <w:ind w:firstLine="709"/>
        <w:jc w:val="both"/>
      </w:pPr>
      <w:r>
        <w:t>Общая трудоемкость дисциплины составляет 6 зачетных единиц (216 академических часов).</w:t>
      </w:r>
    </w:p>
    <w:p w:rsidR="00BD3264" w:rsidRDefault="00BD3264" w:rsidP="00BD3264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BD3264" w:rsidTr="00BD3264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BD3264" w:rsidTr="00BD3264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175</w:t>
            </w: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Вид итогового контроля (зачет, экзамен, </w:t>
            </w:r>
            <w:r>
              <w:rPr>
                <w:rFonts w:eastAsia="Times New Roman"/>
                <w:b/>
              </w:rPr>
              <w:lastRenderedPageBreak/>
              <w:t>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Методика преподавания русского языка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обучения грамоте.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«Орфография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</w:tbl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lastRenderedPageBreak/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</w:t>
      </w:r>
      <w:proofErr w:type="gramStart"/>
      <w:r w:rsidR="00B212B6">
        <w:rPr>
          <w:sz w:val="27"/>
          <w:szCs w:val="27"/>
        </w:rPr>
        <w:t>.Ч</w:t>
      </w:r>
      <w:proofErr w:type="gramEnd"/>
      <w:r w:rsidR="00B212B6">
        <w:rPr>
          <w:sz w:val="27"/>
          <w:szCs w:val="27"/>
        </w:rPr>
        <w:t>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541469" w:rsidRDefault="00541469" w:rsidP="0054146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1469" w:rsidTr="0054146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  <w:szCs w:val="28"/>
              </w:rPr>
              <w:t>XVIII-XX</w:t>
            </w:r>
            <w:proofErr w:type="gramStart"/>
            <w:r>
              <w:rPr>
                <w:rFonts w:eastAsia="Times New Roman"/>
                <w:szCs w:val="28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Научные основы методики обучения грамоте.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</w:t>
            </w:r>
            <w:r w:rsidR="00F35CB3">
              <w:rPr>
                <w:rFonts w:eastAsia="Times New Roman"/>
                <w:szCs w:val="28"/>
              </w:rPr>
              <w:t>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«Синтаксис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«Орфография».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E03D4" w:rsidRDefault="009E03D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541469">
        <w:rPr>
          <w:rFonts w:eastAsia="Times New Roman"/>
          <w:szCs w:val="28"/>
        </w:rPr>
        <w:t>Основные вехи развития методики русского (родного) языка в России (</w:t>
      </w:r>
      <w:proofErr w:type="spellStart"/>
      <w:r w:rsidR="00541469">
        <w:rPr>
          <w:rFonts w:eastAsia="Times New Roman"/>
          <w:szCs w:val="28"/>
        </w:rPr>
        <w:t>XVIII-XX</w:t>
      </w:r>
      <w:proofErr w:type="gramStart"/>
      <w:r w:rsidR="00541469">
        <w:rPr>
          <w:rFonts w:eastAsia="Times New Roman"/>
          <w:szCs w:val="28"/>
        </w:rPr>
        <w:t>вв</w:t>
      </w:r>
      <w:proofErr w:type="spellEnd"/>
      <w:proofErr w:type="gramEnd"/>
      <w:r w:rsidR="00541469">
        <w:rPr>
          <w:rFonts w:eastAsia="Times New Roman"/>
          <w:szCs w:val="28"/>
        </w:rPr>
        <w:t>.)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познавательной </w:t>
      </w:r>
      <w:proofErr w:type="spellStart"/>
      <w:r w:rsidR="00F35CB3">
        <w:rPr>
          <w:rFonts w:ascii="Calibri" w:eastAsia="Times New Roman" w:hAnsi="Calibri"/>
        </w:rPr>
        <w:t>леятельности</w:t>
      </w:r>
      <w:proofErr w:type="spellEnd"/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щихся в обучении. Принцип доступности обучения. Принцип наглядности.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звуковой анализ слов. Порядок </w:t>
      </w:r>
      <w:proofErr w:type="spellStart"/>
      <w:r>
        <w:rPr>
          <w:rFonts w:ascii="Calibri" w:eastAsia="Times New Roman" w:hAnsi="Calibri"/>
        </w:rPr>
        <w:t>звук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lastRenderedPageBreak/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3313C5">
        <w:rPr>
          <w:rFonts w:eastAsia="Times New Roman"/>
          <w:szCs w:val="28"/>
        </w:rPr>
        <w:t>Методический аспект изучения раздела «Морфология».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313C5" w:rsidRPr="00D21867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D21867">
        <w:rPr>
          <w:rFonts w:ascii="Calibri" w:eastAsia="Times New Roman" w:hAnsi="Calibri"/>
        </w:rPr>
        <w:t>Морфология как</w:t>
      </w:r>
      <w:r w:rsidR="00D21867" w:rsidRPr="00D21867">
        <w:rPr>
          <w:rFonts w:ascii="Calibri" w:eastAsia="Times New Roman" w:hAnsi="Calibri"/>
        </w:rPr>
        <w:t xml:space="preserve"> </w:t>
      </w:r>
      <w:r w:rsidRPr="00D21867">
        <w:rPr>
          <w:rFonts w:ascii="Calibri" w:eastAsia="Times New Roman" w:hAnsi="Calibri"/>
        </w:rPr>
        <w:t>учение о частях речи.</w:t>
      </w:r>
      <w:r w:rsidR="00D21867">
        <w:rPr>
          <w:rFonts w:ascii="Calibri" w:eastAsia="Times New Roman" w:hAnsi="Calibri"/>
        </w:rPr>
        <w:t xml:space="preserve"> Значение и употребление частей речи. При</w:t>
      </w:r>
      <w:r w:rsidR="00D21867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>ципы деления частей речи: семантический, морфологический, синтаксический. Методы формирования морфологических понятий. Метод наблюдения над фактами языка. Мо</w:t>
      </w:r>
      <w:r w:rsidR="00D21867">
        <w:rPr>
          <w:rFonts w:ascii="Calibri" w:eastAsia="Times New Roman" w:hAnsi="Calibri"/>
        </w:rPr>
        <w:t>р</w:t>
      </w:r>
      <w:r w:rsidR="00D21867"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 xml:space="preserve">струкции. </w:t>
      </w:r>
      <w:r w:rsidR="00122E1C">
        <w:rPr>
          <w:rFonts w:ascii="Calibri" w:eastAsia="Times New Roman" w:hAnsi="Calibri"/>
        </w:rPr>
        <w:t>Система работы над частью речи.</w:t>
      </w:r>
      <w:r w:rsidR="00D21867"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122E1C">
        <w:rPr>
          <w:rFonts w:ascii="Calibri" w:eastAsia="Times New Roman" w:hAnsi="Calibri"/>
        </w:rPr>
        <w:t xml:space="preserve"> </w:t>
      </w:r>
      <w:r w:rsidR="00122E1C">
        <w:rPr>
          <w:rFonts w:eastAsia="Times New Roman"/>
          <w:szCs w:val="28"/>
        </w:rPr>
        <w:t>Методический аспект изучения раздела «Синтаксис»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122E1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22E1C">
        <w:rPr>
          <w:rFonts w:ascii="Calibri" w:eastAsia="Times New Roman" w:hAnsi="Calibri"/>
        </w:rPr>
        <w:t>Различение и составление словосочетаний, предложений,</w:t>
      </w:r>
      <w:r>
        <w:rPr>
          <w:rFonts w:ascii="Calibri" w:eastAsia="Times New Roman" w:hAnsi="Calibri"/>
        </w:rPr>
        <w:t xml:space="preserve"> </w:t>
      </w:r>
      <w:r w:rsidRPr="00122E1C">
        <w:rPr>
          <w:rFonts w:ascii="Calibri" w:eastAsia="Times New Roman" w:hAnsi="Calibri"/>
        </w:rPr>
        <w:t>текстов</w:t>
      </w:r>
      <w:r>
        <w:rPr>
          <w:rFonts w:ascii="Calibri" w:eastAsia="Times New Roman" w:hAnsi="Calibri"/>
          <w:b/>
        </w:rPr>
        <w:t xml:space="preserve">. </w:t>
      </w:r>
      <w:r w:rsidRPr="00122E1C">
        <w:rPr>
          <w:rFonts w:ascii="Calibri" w:eastAsia="Times New Roman" w:hAnsi="Calibri"/>
        </w:rPr>
        <w:t>Типичные оши</w:t>
      </w:r>
      <w:r w:rsidRPr="00122E1C">
        <w:rPr>
          <w:rFonts w:ascii="Calibri" w:eastAsia="Times New Roman" w:hAnsi="Calibri"/>
        </w:rPr>
        <w:t>б</w:t>
      </w:r>
      <w:r w:rsidRPr="00122E1C">
        <w:rPr>
          <w:rFonts w:ascii="Calibri" w:eastAsia="Times New Roman" w:hAnsi="Calibri"/>
        </w:rPr>
        <w:t>ки в использовании синтаксических конструкций</w:t>
      </w:r>
      <w:r w:rsidR="00EE28C3">
        <w:rPr>
          <w:rFonts w:ascii="Calibri" w:eastAsia="Times New Roman" w:hAnsi="Calibri"/>
        </w:rPr>
        <w:t>. Наблюдение над смыслом словосочет</w:t>
      </w:r>
      <w:r w:rsidR="00EE28C3">
        <w:rPr>
          <w:rFonts w:ascii="Calibri" w:eastAsia="Times New Roman" w:hAnsi="Calibri"/>
        </w:rPr>
        <w:t>а</w:t>
      </w:r>
      <w:r w:rsidR="00EE28C3">
        <w:rPr>
          <w:rFonts w:ascii="Calibri" w:eastAsia="Times New Roman" w:hAnsi="Calibri"/>
        </w:rPr>
        <w:t>ния и предложения. Метод реконструкции предложения. Метод конструирования пре</w:t>
      </w:r>
      <w:r w:rsidR="00EE28C3">
        <w:rPr>
          <w:rFonts w:ascii="Calibri" w:eastAsia="Times New Roman" w:hAnsi="Calibri"/>
        </w:rPr>
        <w:t>д</w:t>
      </w:r>
      <w:r w:rsidR="00EE28C3">
        <w:rPr>
          <w:rFonts w:ascii="Calibri" w:eastAsia="Times New Roman" w:hAnsi="Calibri"/>
        </w:rPr>
        <w:t>ложения</w:t>
      </w:r>
      <w:r w:rsidR="00852ABF">
        <w:rPr>
          <w:rFonts w:ascii="Calibri" w:eastAsia="Times New Roman" w:hAnsi="Calibri"/>
        </w:rPr>
        <w:t>. Номинативная функция словосочетания и коммуникативная функция предл</w:t>
      </w:r>
      <w:r w:rsidR="00852ABF">
        <w:rPr>
          <w:rFonts w:ascii="Calibri" w:eastAsia="Times New Roman" w:hAnsi="Calibri"/>
        </w:rPr>
        <w:t>о</w:t>
      </w:r>
      <w:r w:rsidR="00852ABF">
        <w:rPr>
          <w:rFonts w:ascii="Calibri" w:eastAsia="Times New Roman" w:hAnsi="Calibri"/>
        </w:rPr>
        <w:t>жения. Определение характера предложения. Семантика главных и второстепенных чл</w:t>
      </w:r>
      <w:r w:rsidR="00852ABF">
        <w:rPr>
          <w:rFonts w:ascii="Calibri" w:eastAsia="Times New Roman" w:hAnsi="Calibri"/>
        </w:rPr>
        <w:t>е</w:t>
      </w:r>
      <w:r w:rsidR="00852ABF">
        <w:rPr>
          <w:rFonts w:ascii="Calibri" w:eastAsia="Times New Roman" w:hAnsi="Calibri"/>
        </w:rPr>
        <w:t xml:space="preserve">нов предложения. Порядок слов в предложении.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занятие№6</w:t>
      </w:r>
    </w:p>
    <w:p w:rsidR="00852ABF" w:rsidRDefault="002A4342" w:rsidP="002A4342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52ABF">
        <w:rPr>
          <w:rFonts w:eastAsia="Times New Roman"/>
          <w:szCs w:val="28"/>
        </w:rPr>
        <w:t>Методический аспект изучения раздела «Орфография»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52ABF" w:rsidRPr="004C6058" w:rsidRDefault="00E36BF1" w:rsidP="004C605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36BF1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онятие орфографии и пунктуации. Фонетический принцип орфографии. Морфол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гический принцип орфографии. Традиционный принцип. Дифференцирующий принцип. Методика использования орфограмм и </w:t>
      </w:r>
      <w:proofErr w:type="spellStart"/>
      <w:r>
        <w:rPr>
          <w:rFonts w:ascii="Calibri" w:eastAsia="Times New Roman" w:hAnsi="Calibri"/>
        </w:rPr>
        <w:t>пунктограмм</w:t>
      </w:r>
      <w:proofErr w:type="spellEnd"/>
      <w:r>
        <w:rPr>
          <w:rFonts w:ascii="Calibri" w:eastAsia="Times New Roman" w:hAnsi="Calibri"/>
        </w:rPr>
        <w:t>. Прием подстановки в правописании безударных падежных окончаний.</w:t>
      </w:r>
      <w:r w:rsidR="004C6058"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Симультанный</w:t>
      </w:r>
      <w:proofErr w:type="gramEnd"/>
      <w:r>
        <w:rPr>
          <w:rFonts w:ascii="Calibri" w:eastAsia="Times New Roman" w:hAnsi="Calibri"/>
        </w:rPr>
        <w:t xml:space="preserve"> и </w:t>
      </w:r>
      <w:proofErr w:type="spellStart"/>
      <w:r>
        <w:rPr>
          <w:rFonts w:ascii="Calibri" w:eastAsia="Times New Roman" w:hAnsi="Calibri"/>
        </w:rPr>
        <w:t>сук</w:t>
      </w:r>
      <w:r w:rsidR="004C6058">
        <w:rPr>
          <w:rFonts w:ascii="Calibri" w:eastAsia="Times New Roman" w:hAnsi="Calibri"/>
        </w:rPr>
        <w:t>цесивный</w:t>
      </w:r>
      <w:proofErr w:type="spellEnd"/>
      <w:r w:rsidR="004C6058">
        <w:rPr>
          <w:rFonts w:ascii="Calibri" w:eastAsia="Times New Roman" w:hAnsi="Calibri"/>
        </w:rPr>
        <w:t xml:space="preserve"> навыки интеллектуал</w:t>
      </w:r>
      <w:r w:rsidR="004C6058">
        <w:rPr>
          <w:rFonts w:ascii="Calibri" w:eastAsia="Times New Roman" w:hAnsi="Calibri"/>
        </w:rPr>
        <w:t>ь</w:t>
      </w:r>
      <w:r w:rsidR="004C6058">
        <w:rPr>
          <w:rFonts w:ascii="Calibri" w:eastAsia="Times New Roman" w:hAnsi="Calibri"/>
        </w:rPr>
        <w:t>ной деятельности.</w:t>
      </w:r>
      <w:r>
        <w:rPr>
          <w:rFonts w:ascii="Calibri" w:eastAsia="Times New Roman" w:hAnsi="Calibri"/>
        </w:rPr>
        <w:t xml:space="preserve"> </w:t>
      </w:r>
    </w:p>
    <w:p w:rsidR="003A1DA9" w:rsidRDefault="002A4342" w:rsidP="002A4342">
      <w:pPr>
        <w:pStyle w:val="ReportMain"/>
        <w:keepNext/>
        <w:suppressAutoHyphens/>
        <w:jc w:val="both"/>
        <w:outlineLvl w:val="1"/>
      </w:pPr>
      <w:r>
        <w:rPr>
          <w:szCs w:val="24"/>
        </w:rPr>
        <w:t xml:space="preserve"> </w:t>
      </w:r>
      <w:r w:rsidR="003A1DA9" w:rsidRPr="003F4EDA">
        <w:rPr>
          <w:b/>
        </w:rPr>
        <w:t>Формы, приемы и методы работы</w:t>
      </w:r>
      <w:r w:rsidR="003A1DA9">
        <w:rPr>
          <w:b/>
        </w:rPr>
        <w:t xml:space="preserve">: </w:t>
      </w:r>
      <w:r w:rsidR="003A1DA9" w:rsidRPr="003A1DA9">
        <w:t>с</w:t>
      </w:r>
      <w:r w:rsidR="003A1DA9"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3A1DA9"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 w:rsidR="003A1DA9">
        <w:t>.</w:t>
      </w:r>
      <w:r w:rsidR="00BC2584">
        <w:t xml:space="preserve"> </w:t>
      </w:r>
      <w:r w:rsidR="003A1DA9">
        <w:t>Проводится тестирование</w:t>
      </w:r>
      <w:r w:rsidR="00BC2584">
        <w:t xml:space="preserve"> по м</w:t>
      </w:r>
      <w:r w:rsidR="00852ABF">
        <w:t>атериалам ФОС(Блок</w:t>
      </w:r>
      <w:proofErr w:type="gramStart"/>
      <w:r w:rsidR="00852ABF">
        <w:t xml:space="preserve"> А</w:t>
      </w:r>
      <w:proofErr w:type="gramEnd"/>
      <w:r w:rsidR="00852ABF">
        <w:t xml:space="preserve">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C6058">
        <w:rPr>
          <w:rFonts w:eastAsia="Times New Roman"/>
          <w:szCs w:val="28"/>
        </w:rPr>
        <w:t>Методика работы по развитию речи на лексическом уровне.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</w:t>
      </w:r>
      <w:proofErr w:type="gramStart"/>
      <w:r w:rsidR="00C02BBC">
        <w:t>.</w:t>
      </w:r>
      <w:proofErr w:type="gramEnd"/>
      <w:r w:rsidR="00C02BBC">
        <w:t xml:space="preserve"> </w:t>
      </w:r>
      <w:proofErr w:type="gramStart"/>
      <w:r w:rsidR="00C02BBC">
        <w:t>я</w:t>
      </w:r>
      <w:proofErr w:type="gramEnd"/>
      <w:r w:rsidR="00C02BBC">
        <w:t xml:space="preserve">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</w:t>
      </w:r>
      <w:proofErr w:type="gramStart"/>
      <w:r w:rsidR="00C02BBC">
        <w:t xml:space="preserve"> А</w:t>
      </w:r>
      <w:proofErr w:type="gramEnd"/>
      <w:r w:rsidR="00C02BBC">
        <w:t xml:space="preserve">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C02BB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  <w:szCs w:val="28"/>
        </w:rPr>
        <w:t>Грамматический уровень работы по развитию речи: словосочетание, предл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жение, связная речь.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F1" w:rsidRDefault="00E36BF1" w:rsidP="00817BE6">
      <w:pPr>
        <w:spacing w:after="0" w:line="240" w:lineRule="auto"/>
      </w:pPr>
      <w:r>
        <w:separator/>
      </w:r>
    </w:p>
  </w:endnote>
  <w:end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E36BF1" w:rsidRDefault="00F81EDC">
        <w:pPr>
          <w:pStyle w:val="a7"/>
          <w:jc w:val="center"/>
        </w:pPr>
        <w:fldSimple w:instr="PAGE   \* MERGEFORMAT">
          <w:r w:rsidR="00D504D4">
            <w:rPr>
              <w:noProof/>
            </w:rPr>
            <w:t>3</w:t>
          </w:r>
        </w:fldSimple>
      </w:p>
    </w:sdtContent>
  </w:sdt>
  <w:p w:rsidR="00E36BF1" w:rsidRDefault="00E36B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F1" w:rsidRDefault="00E36BF1" w:rsidP="00817BE6">
      <w:pPr>
        <w:spacing w:after="0" w:line="240" w:lineRule="auto"/>
      </w:pPr>
      <w:r>
        <w:separator/>
      </w:r>
    </w:p>
  </w:footnote>
  <w:foot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65E9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35BA"/>
    <w:rsid w:val="001501ED"/>
    <w:rsid w:val="00151C92"/>
    <w:rsid w:val="00152D7F"/>
    <w:rsid w:val="00153024"/>
    <w:rsid w:val="001575FA"/>
    <w:rsid w:val="00163B1E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D6958"/>
    <w:rsid w:val="002F7C86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03FF4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B1AD9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C3876"/>
    <w:rsid w:val="009E03D4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204C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04D4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15E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1EDC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FDE4-D299-4B8A-A249-0BC53452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28</Pages>
  <Words>8756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78</cp:revision>
  <dcterms:created xsi:type="dcterms:W3CDTF">2016-10-09T16:26:00Z</dcterms:created>
  <dcterms:modified xsi:type="dcterms:W3CDTF">2021-08-31T13:34:00Z</dcterms:modified>
</cp:coreProperties>
</file>