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621A8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«Б.1.В.ДВ.11.1 Проектное обучение в группе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B59E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B12A0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12A0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B59E2">
        <w:rPr>
          <w:rFonts w:ascii="Times New Roman" w:eastAsia="Times New Roman" w:hAnsi="Times New Roman"/>
          <w:sz w:val="28"/>
          <w:szCs w:val="28"/>
        </w:rPr>
        <w:t>Проектное об</w:t>
      </w:r>
      <w:r w:rsidR="00BB59E2">
        <w:rPr>
          <w:rFonts w:ascii="Times New Roman" w:eastAsia="Times New Roman" w:hAnsi="Times New Roman"/>
          <w:sz w:val="28"/>
          <w:szCs w:val="28"/>
        </w:rPr>
        <w:t>у</w:t>
      </w:r>
      <w:r w:rsidR="00BB59E2">
        <w:rPr>
          <w:rFonts w:ascii="Times New Roman" w:eastAsia="Times New Roman" w:hAnsi="Times New Roman"/>
          <w:sz w:val="28"/>
          <w:szCs w:val="28"/>
        </w:rPr>
        <w:t>чение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12A0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</w:t>
      </w:r>
      <w:proofErr w:type="spellStart"/>
      <w:r w:rsidR="00E84A4D">
        <w:rPr>
          <w:sz w:val="28"/>
          <w:szCs w:val="28"/>
        </w:rPr>
        <w:t>личности</w:t>
      </w:r>
      <w:r>
        <w:rPr>
          <w:sz w:val="28"/>
          <w:szCs w:val="28"/>
        </w:rPr>
        <w:t>,ее</w:t>
      </w:r>
      <w:proofErr w:type="spellEnd"/>
      <w:r>
        <w:rPr>
          <w:sz w:val="28"/>
          <w:szCs w:val="28"/>
        </w:rPr>
        <w:t xml:space="preserve">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 xml:space="preserve">тия мира и </w:t>
      </w:r>
      <w:proofErr w:type="spellStart"/>
      <w:r>
        <w:rPr>
          <w:sz w:val="28"/>
          <w:szCs w:val="28"/>
        </w:rPr>
        <w:t>общеста</w:t>
      </w:r>
      <w:proofErr w:type="spellEnd"/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FA5261" w:rsidRDefault="007A1B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FA5261" w:rsidRDefault="00FA5261" w:rsidP="00FA5261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Б.1.Б.12 Введение в профессионально-педагогическую специальность</w:t>
      </w: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FA5261" w:rsidRDefault="00FA5261" w:rsidP="00FA526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tbl>
      <w:tblPr>
        <w:tblW w:w="11770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95"/>
        <w:gridCol w:w="3175"/>
      </w:tblGrid>
      <w:tr w:rsidR="00FA5261" w:rsidTr="00FA5261">
        <w:trPr>
          <w:tblHeader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A5261" w:rsidTr="00FA5261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  <w:szCs w:val="24"/>
              </w:rPr>
              <w:t xml:space="preserve"> основы формирования межличностных отношений в коллективе,  культуры мышления, способности к обобщению, анализа, восприятия информации, постановки цели и выбора путей ее достижения.</w:t>
            </w:r>
          </w:p>
          <w:p w:rsidR="00FA5261" w:rsidRDefault="00FA5261">
            <w:pPr>
              <w:pStyle w:val="ReportMain"/>
              <w:suppressAutoHyphens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значимые философские проблемы; навыками логически верно выстраивать систему коммуникационных контактов  в ходе работы в коллективе.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FA5261" w:rsidTr="00FA5261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закономерности возникновения и развития психических процессов профессиональной педагогической деятельности, ее проектирования; факторы, определяющие развитие психики, механизма развития; психологические условия развития важных и значимых качеств личности, профессионального совершенствования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</w:p>
          <w:p w:rsidR="00FA5261" w:rsidRDefault="00FA5261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использовать теоретические знания в конкретной практико-ориентированной деятельности, анализировать мировоззренческие позиции в контексте психологических и личностно значимых проблем, проектировать пути профессионального роста и личностного развития.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культурой творческого саморазвития личности педагога, приемами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учителя в ее профессионально-творческом становлении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ОПК-1 способностью  проектировать  и  осуществлять  индивидуально-личностные  концепции  профессионально-педагогической  деятельности</w:t>
            </w:r>
          </w:p>
        </w:tc>
      </w:tr>
      <w:tr w:rsidR="00FA5261" w:rsidTr="00FA5261"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</w:rPr>
              <w:t>содержательный и практический смысл теоретического и практического испол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зования концепций  и  моделей образовательных  систем  в  мировой  и  отечественной  педагогической 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практике</w:t>
            </w:r>
          </w:p>
          <w:p w:rsidR="00FA5261" w:rsidRDefault="00FA52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целесообразно и результативно использовать обучающие и воспитывающие во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можности определенных концепций  и  моделей образовательных  систем  в  мировой  и  отечественной  педагогической 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практике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Владеть:</w:t>
            </w:r>
            <w:r>
              <w:rPr>
                <w:rFonts w:eastAsia="Times New Roman"/>
                <w:sz w:val="22"/>
              </w:rPr>
              <w:t xml:space="preserve"> умением анализировать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ПК-10 готовностью  к  использованию  концепций  и  моделей образовательных  систем  в  мировой  и  отечественной  педагогической практике </w:t>
            </w:r>
          </w:p>
          <w:p w:rsidR="00FA5261" w:rsidRDefault="00FA5261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FA5261" w:rsidRP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A5261" w:rsidRDefault="00FA5261" w:rsidP="00FA5261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FA5261" w:rsidRDefault="00FA5261" w:rsidP="00FA5261">
      <w:pPr>
        <w:pStyle w:val="ReportMain"/>
        <w:suppressAutoHyphens/>
        <w:jc w:val="both"/>
      </w:pPr>
    </w:p>
    <w:tbl>
      <w:tblPr>
        <w:tblpPr w:leftFromText="180" w:rightFromText="180" w:vertAnchor="text" w:horzAnchor="margin" w:tblpXSpec="center" w:tblpY="13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FA5261" w:rsidTr="00FA5261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A5261" w:rsidTr="00FA5261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 w:rsidP="00FA526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34,25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73,75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73,75</w:t>
            </w:r>
          </w:p>
        </w:tc>
      </w:tr>
      <w:tr w:rsidR="00FA5261" w:rsidTr="00FA5261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разделов;</w:t>
            </w:r>
          </w:p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A5261" w:rsidTr="00FA526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1" w:rsidRDefault="00FA5261" w:rsidP="00FA526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lastRenderedPageBreak/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</w:t>
      </w:r>
      <w:r>
        <w:rPr>
          <w:sz w:val="28"/>
          <w:szCs w:val="28"/>
        </w:rPr>
        <w:lastRenderedPageBreak/>
        <w:t>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Default="00680ED9" w:rsidP="00680ED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80ED9" w:rsidTr="00680ED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осуществление деятельности по проекту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обратной связи в ходе реализации проекта.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Оценивание действий в ходе подготовки и реализации проекта.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 в ходе осуществления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1.Формирование проектной деятельности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lastRenderedPageBreak/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</w:t>
      </w:r>
      <w:r>
        <w:rPr>
          <w:szCs w:val="24"/>
        </w:rPr>
        <w:lastRenderedPageBreak/>
        <w:t>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A46F48">
        <w:pPr>
          <w:pStyle w:val="a7"/>
          <w:jc w:val="center"/>
        </w:pPr>
        <w:fldSimple w:instr="PAGE   \* MERGEFORMAT">
          <w:r w:rsidR="00B12A0D">
            <w:rPr>
              <w:noProof/>
            </w:rPr>
            <w:t>4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4EC5"/>
    <w:rsid w:val="005E3463"/>
    <w:rsid w:val="005E431D"/>
    <w:rsid w:val="005F64BE"/>
    <w:rsid w:val="00602D51"/>
    <w:rsid w:val="00621A84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46F48"/>
    <w:rsid w:val="00A628A9"/>
    <w:rsid w:val="00A72F9C"/>
    <w:rsid w:val="00A73AA6"/>
    <w:rsid w:val="00A91AD6"/>
    <w:rsid w:val="00A9504F"/>
    <w:rsid w:val="00AA516C"/>
    <w:rsid w:val="00AC1419"/>
    <w:rsid w:val="00AF23B1"/>
    <w:rsid w:val="00AF3812"/>
    <w:rsid w:val="00AF726C"/>
    <w:rsid w:val="00B07C18"/>
    <w:rsid w:val="00B12A0D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614BE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ED23-FB76-4C98-937B-E340CD33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29</Pages>
  <Words>8831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2019-11-15T22:13:00Z</dcterms:modified>
</cp:coreProperties>
</file>