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Кафедра истории и теории государства и права</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1E4BA9">
        <w:rPr>
          <w:rFonts w:ascii="Times New Roman" w:eastAsia="Times New Roman" w:hAnsi="Times New Roman" w:cs="Times New Roman"/>
          <w:sz w:val="24"/>
          <w:szCs w:val="24"/>
        </w:rPr>
        <w:t xml:space="preserve"> 2016</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BC5905">
        <w:rPr>
          <w:rFonts w:ascii="Times New Roman" w:eastAsia="Calibri" w:hAnsi="Times New Roman" w:cs="Times New Roman"/>
          <w:sz w:val="24"/>
          <w:szCs w:val="24"/>
          <w:u w:val="single"/>
        </w:rPr>
        <w:t>истории и теории государства и права</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9 от 13.03.2017 </w:t>
      </w:r>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355724">
        <w:rPr>
          <w:rFonts w:ascii="Times New Roman" w:eastAsia="Times New Roman" w:hAnsi="Times New Roman" w:cs="Times New Roman"/>
          <w:sz w:val="24"/>
          <w:szCs w:val="24"/>
          <w:lang w:eastAsia="ru-RU"/>
        </w:rPr>
        <w:t>управомочия</w:t>
      </w:r>
      <w:proofErr w:type="spellEnd"/>
      <w:r w:rsidRPr="00355724">
        <w:rPr>
          <w:rFonts w:ascii="Times New Roman" w:eastAsia="Times New Roman" w:hAnsi="Times New Roman" w:cs="Times New Roman"/>
          <w:sz w:val="24"/>
          <w:szCs w:val="24"/>
          <w:lang w:eastAsia="ru-RU"/>
        </w:rPr>
        <w:t>;</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w:t>
      </w:r>
      <w:proofErr w:type="gramStart"/>
      <w:r w:rsidRPr="00355724">
        <w:rPr>
          <w:rFonts w:ascii="Times New Roman" w:eastAsia="Times New Roman" w:hAnsi="Times New Roman" w:cs="Times New Roman"/>
          <w:sz w:val="24"/>
          <w:szCs w:val="24"/>
          <w:lang w:eastAsia="ru-RU"/>
        </w:rPr>
        <w:t xml:space="preserve"> ….</w:t>
      </w:r>
      <w:proofErr w:type="gramEnd"/>
      <w:r w:rsidRPr="00355724">
        <w:rPr>
          <w:rFonts w:ascii="Times New Roman" w:eastAsia="Times New Roman" w:hAnsi="Times New Roman" w:cs="Times New Roman"/>
          <w:sz w:val="24"/>
          <w:szCs w:val="24"/>
          <w:lang w:eastAsia="ru-RU"/>
        </w:rPr>
        <w:t>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lastRenderedPageBreak/>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w:t>
      </w:r>
      <w:proofErr w:type="gramStart"/>
      <w:r w:rsidRPr="00355724">
        <w:rPr>
          <w:rFonts w:ascii="Times New Roman" w:eastAsia="Times New Roman" w:hAnsi="Times New Roman" w:cs="Times New Roman"/>
          <w:sz w:val="24"/>
          <w:szCs w:val="24"/>
          <w:lang w:eastAsia="ru-RU"/>
        </w:rPr>
        <w:t>С</w:t>
      </w:r>
      <w:proofErr w:type="gramEnd"/>
      <w:r w:rsidRPr="00355724">
        <w:rPr>
          <w:rFonts w:ascii="Times New Roman" w:eastAsia="Times New Roman" w:hAnsi="Times New Roman" w:cs="Times New Roman"/>
          <w:sz w:val="24"/>
          <w:szCs w:val="24"/>
          <w:lang w:eastAsia="ru-RU"/>
        </w:rPr>
        <w:t xml:space="preserve">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proofErr w:type="spellStart"/>
      <w:r w:rsidRPr="00355724">
        <w:rPr>
          <w:rFonts w:ascii="Times New Roman" w:eastAsia="Calibri" w:hAnsi="Times New Roman" w:cs="Times New Roman"/>
          <w:sz w:val="24"/>
          <w:szCs w:val="24"/>
        </w:rPr>
        <w:t>нестимулирование</w:t>
      </w:r>
      <w:proofErr w:type="spellEnd"/>
      <w:r w:rsidRPr="00355724">
        <w:rPr>
          <w:rFonts w:ascii="Times New Roman" w:eastAsia="Calibri" w:hAnsi="Times New Roman" w:cs="Times New Roman"/>
          <w:sz w:val="24"/>
          <w:szCs w:val="24"/>
        </w:rPr>
        <w:t xml:space="preserve">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не допускается, но сохраняется за </w:t>
      </w:r>
      <w:proofErr w:type="gramStart"/>
      <w:r w:rsidRPr="00355724">
        <w:rPr>
          <w:rFonts w:ascii="Times New Roman" w:eastAsia="Calibri" w:hAnsi="Times New Roman" w:cs="Times New Roman"/>
          <w:sz w:val="24"/>
          <w:szCs w:val="24"/>
        </w:rPr>
        <w:t>теми</w:t>
      </w:r>
      <w:proofErr w:type="gramEnd"/>
      <w:r w:rsidRPr="00355724">
        <w:rPr>
          <w:rFonts w:ascii="Times New Roman" w:eastAsia="Calibri" w:hAnsi="Times New Roman" w:cs="Times New Roman"/>
          <w:sz w:val="24"/>
          <w:szCs w:val="24"/>
        </w:rPr>
        <w:t xml:space="preserve">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roofErr w:type="gramStart"/>
      <w:r w:rsidRPr="00355724">
        <w:rPr>
          <w:rFonts w:ascii="Times New Roman" w:eastAsia="Calibri" w:hAnsi="Times New Roman" w:cs="Times New Roman"/>
          <w:sz w:val="24"/>
          <w:szCs w:val="24"/>
        </w:rPr>
        <w:t>5.11  Центр</w:t>
      </w:r>
      <w:proofErr w:type="gramEnd"/>
      <w:r w:rsidRPr="00355724">
        <w:rPr>
          <w:rFonts w:ascii="Times New Roman" w:eastAsia="Calibri" w:hAnsi="Times New Roman" w:cs="Times New Roman"/>
          <w:sz w:val="24"/>
          <w:szCs w:val="24"/>
        </w:rPr>
        <w:t xml:space="preserve">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 xml:space="preserve">Совета </w:t>
      </w:r>
      <w:proofErr w:type="gramStart"/>
      <w:r w:rsidRPr="00355724">
        <w:rPr>
          <w:rFonts w:ascii="Times New Roman" w:eastAsia="Times New Roman" w:hAnsi="Times New Roman" w:cs="Times New Roman"/>
          <w:sz w:val="24"/>
          <w:szCs w:val="24"/>
          <w:lang w:eastAsia="ru-RU"/>
        </w:rPr>
        <w:t>Федерации;;</w:t>
      </w:r>
      <w:proofErr w:type="gramEnd"/>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roofErr w:type="gramStart"/>
      <w:r w:rsidRPr="00355724">
        <w:rPr>
          <w:rFonts w:ascii="Times New Roman" w:eastAsia="Times New Roman" w:hAnsi="Times New Roman" w:cs="Times New Roman"/>
          <w:sz w:val="24"/>
          <w:szCs w:val="24"/>
          <w:lang w:eastAsia="ru-RU"/>
        </w:rPr>
        <w:t>6.17  В</w:t>
      </w:r>
      <w:proofErr w:type="gramEnd"/>
      <w:r w:rsidRPr="00355724">
        <w:rPr>
          <w:rFonts w:ascii="Times New Roman" w:eastAsia="Times New Roman" w:hAnsi="Times New Roman" w:cs="Times New Roman"/>
          <w:sz w:val="24"/>
          <w:szCs w:val="24"/>
          <w:lang w:eastAsia="ru-RU"/>
        </w:rPr>
        <w:t xml:space="preserve">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roofErr w:type="gramStart"/>
      <w:r w:rsidRPr="00355724">
        <w:rPr>
          <w:rFonts w:ascii="Times New Roman" w:eastAsia="Times New Roman" w:hAnsi="Times New Roman" w:cs="Times New Roman"/>
          <w:sz w:val="24"/>
          <w:szCs w:val="24"/>
          <w:lang w:eastAsia="ru-RU"/>
        </w:rPr>
        <w:t>6.24  В</w:t>
      </w:r>
      <w:proofErr w:type="gramEnd"/>
      <w:r w:rsidRPr="00355724">
        <w:rPr>
          <w:rFonts w:ascii="Times New Roman" w:eastAsia="Times New Roman" w:hAnsi="Times New Roman" w:cs="Times New Roman"/>
          <w:sz w:val="24"/>
          <w:szCs w:val="24"/>
          <w:lang w:eastAsia="ru-RU"/>
        </w:rPr>
        <w:t xml:space="preserve">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30-летнего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21-летнего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18-летнего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proofErr w:type="gramStart"/>
      <w:r w:rsidRPr="00355724">
        <w:rPr>
          <w:rFonts w:ascii="Times New Roman" w:eastAsia="Calibri" w:hAnsi="Times New Roman" w:cs="Times New Roman"/>
          <w:color w:val="000000"/>
          <w:sz w:val="24"/>
          <w:szCs w:val="24"/>
        </w:rPr>
        <w:t>6.40  К</w:t>
      </w:r>
      <w:proofErr w:type="gramEnd"/>
      <w:r w:rsidRPr="00355724">
        <w:rPr>
          <w:rFonts w:ascii="Times New Roman" w:eastAsia="Calibri" w:hAnsi="Times New Roman" w:cs="Times New Roman"/>
          <w:color w:val="000000"/>
          <w:sz w:val="24"/>
          <w:szCs w:val="24"/>
        </w:rPr>
        <w:t xml:space="preserve">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6.44 </w:t>
      </w:r>
      <w:proofErr w:type="gramStart"/>
      <w:r w:rsidRPr="00355724">
        <w:rPr>
          <w:rFonts w:ascii="Times New Roman" w:eastAsia="Calibri" w:hAnsi="Times New Roman" w:cs="Times New Roman"/>
          <w:color w:val="000000"/>
          <w:sz w:val="24"/>
          <w:szCs w:val="24"/>
        </w:rPr>
        <w:t>В</w:t>
      </w:r>
      <w:proofErr w:type="gramEnd"/>
      <w:r w:rsidRPr="00355724">
        <w:rPr>
          <w:rFonts w:ascii="Times New Roman" w:eastAsia="Calibri" w:hAnsi="Times New Roman" w:cs="Times New Roman"/>
          <w:color w:val="000000"/>
          <w:sz w:val="24"/>
          <w:szCs w:val="24"/>
        </w:rPr>
        <w:t xml:space="preserve">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 xml:space="preserve">6.52 При </w:t>
      </w:r>
      <w:proofErr w:type="gramStart"/>
      <w:r w:rsidRPr="00355724">
        <w:rPr>
          <w:rFonts w:ascii="Times New Roman" w:eastAsia="Calibri" w:hAnsi="Times New Roman" w:cs="Times New Roman"/>
          <w:sz w:val="24"/>
          <w:szCs w:val="24"/>
        </w:rPr>
        <w:t>внесении  законопроекта</w:t>
      </w:r>
      <w:proofErr w:type="gramEnd"/>
      <w:r w:rsidRPr="00355724">
        <w:rPr>
          <w:rFonts w:ascii="Times New Roman" w:eastAsia="Calibri" w:hAnsi="Times New Roman" w:cs="Times New Roman"/>
          <w:sz w:val="24"/>
          <w:szCs w:val="24"/>
        </w:rPr>
        <w:t xml:space="preserve">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roofErr w:type="gramStart"/>
      <w:r w:rsidRPr="00355724">
        <w:rPr>
          <w:rFonts w:ascii="Times New Roman" w:eastAsia="Calibri" w:hAnsi="Times New Roman" w:cs="Times New Roman"/>
          <w:sz w:val="24"/>
          <w:szCs w:val="24"/>
        </w:rPr>
        <w:t>6.54  В</w:t>
      </w:r>
      <w:proofErr w:type="gramEnd"/>
      <w:r w:rsidRPr="00355724">
        <w:rPr>
          <w:rFonts w:ascii="Times New Roman" w:eastAsia="Calibri" w:hAnsi="Times New Roman" w:cs="Times New Roman"/>
          <w:sz w:val="24"/>
          <w:szCs w:val="24"/>
        </w:rPr>
        <w:t xml:space="preserve">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30-летнего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21-летнего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18-летнего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6.73 </w:t>
      </w:r>
      <w:proofErr w:type="gramStart"/>
      <w:r w:rsidRPr="00355724">
        <w:rPr>
          <w:rFonts w:ascii="Times New Roman" w:eastAsia="Calibri" w:hAnsi="Times New Roman" w:cs="Times New Roman"/>
          <w:sz w:val="24"/>
          <w:szCs w:val="24"/>
        </w:rPr>
        <w:t>В</w:t>
      </w:r>
      <w:proofErr w:type="gramEnd"/>
      <w:r w:rsidRPr="00355724">
        <w:rPr>
          <w:rFonts w:ascii="Times New Roman" w:eastAsia="Calibri" w:hAnsi="Times New Roman" w:cs="Times New Roman"/>
          <w:sz w:val="24"/>
          <w:szCs w:val="24"/>
        </w:rPr>
        <w:t xml:space="preserve">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7.1 </w:t>
      </w:r>
      <w:proofErr w:type="gramStart"/>
      <w:r w:rsidRPr="00355724">
        <w:rPr>
          <w:rFonts w:ascii="Times New Roman" w:eastAsia="Calibri" w:hAnsi="Times New Roman" w:cs="Times New Roman"/>
          <w:sz w:val="24"/>
          <w:szCs w:val="24"/>
        </w:rPr>
        <w:t>В</w:t>
      </w:r>
      <w:proofErr w:type="gramEnd"/>
      <w:r w:rsidRPr="00355724">
        <w:rPr>
          <w:rFonts w:ascii="Times New Roman" w:eastAsia="Calibri" w:hAnsi="Times New Roman" w:cs="Times New Roman"/>
          <w:sz w:val="24"/>
          <w:szCs w:val="24"/>
        </w:rPr>
        <w:t xml:space="preserve">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roofErr w:type="gramStart"/>
      <w:r w:rsidRPr="00355724">
        <w:rPr>
          <w:rFonts w:ascii="Times New Roman" w:eastAsia="Calibri" w:hAnsi="Times New Roman" w:cs="Times New Roman"/>
          <w:sz w:val="24"/>
          <w:szCs w:val="24"/>
        </w:rPr>
        <w:t>7.2  К</w:t>
      </w:r>
      <w:proofErr w:type="gramEnd"/>
      <w:r w:rsidRPr="00355724">
        <w:rPr>
          <w:rFonts w:ascii="Times New Roman" w:eastAsia="Calibri" w:hAnsi="Times New Roman" w:cs="Times New Roman"/>
          <w:sz w:val="24"/>
          <w:szCs w:val="24"/>
        </w:rPr>
        <w:t xml:space="preserve">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roofErr w:type="gramStart"/>
      <w:r w:rsidRPr="00355724">
        <w:rPr>
          <w:rFonts w:ascii="Times New Roman" w:eastAsia="Times New Roman" w:hAnsi="Times New Roman" w:cs="Times New Roman"/>
          <w:sz w:val="24"/>
          <w:szCs w:val="24"/>
          <w:lang w:eastAsia="ru-RU"/>
        </w:rPr>
        <w:t>7.4  Местное</w:t>
      </w:r>
      <w:proofErr w:type="gramEnd"/>
      <w:r w:rsidRPr="00355724">
        <w:rPr>
          <w:rFonts w:ascii="Times New Roman" w:eastAsia="Times New Roman" w:hAnsi="Times New Roman" w:cs="Times New Roman"/>
          <w:sz w:val="24"/>
          <w:szCs w:val="24"/>
          <w:lang w:eastAsia="ru-RU"/>
        </w:rPr>
        <w:t xml:space="preserve">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7.6 </w:t>
      </w:r>
      <w:proofErr w:type="gramStart"/>
      <w:r w:rsidRPr="00355724">
        <w:rPr>
          <w:rFonts w:ascii="Times New Roman" w:eastAsia="Calibri" w:hAnsi="Times New Roman" w:cs="Times New Roman"/>
          <w:sz w:val="24"/>
          <w:szCs w:val="24"/>
        </w:rPr>
        <w:t>В</w:t>
      </w:r>
      <w:proofErr w:type="gramEnd"/>
      <w:r w:rsidRPr="00355724">
        <w:rPr>
          <w:rFonts w:ascii="Times New Roman" w:eastAsia="Calibri" w:hAnsi="Times New Roman" w:cs="Times New Roman"/>
          <w:sz w:val="24"/>
          <w:szCs w:val="24"/>
        </w:rPr>
        <w:t xml:space="preserve">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355724">
        <w:rPr>
          <w:rFonts w:ascii="Times New Roman" w:eastAsia="Times New Roman" w:hAnsi="Times New Roman" w:cs="Times New Roman"/>
          <w:sz w:val="24"/>
          <w:szCs w:val="24"/>
          <w:lang w:eastAsia="ru-RU"/>
        </w:rPr>
        <w:t>правовосстановительная</w:t>
      </w:r>
      <w:proofErr w:type="spellEnd"/>
      <w:r w:rsidRPr="00355724">
        <w:rPr>
          <w:rFonts w:ascii="Times New Roman" w:eastAsia="Times New Roman" w:hAnsi="Times New Roman" w:cs="Times New Roman"/>
          <w:sz w:val="24"/>
          <w:szCs w:val="24"/>
          <w:lang w:eastAsia="ru-RU"/>
        </w:rPr>
        <w:t>;</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bookmarkStart w:id="0" w:name="_GoBack"/>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lastRenderedPageBreak/>
        <w:t xml:space="preserve">3.7 </w:t>
      </w:r>
      <w:proofErr w:type="gramStart"/>
      <w:r w:rsidRPr="00BA077D">
        <w:rPr>
          <w:rFonts w:ascii="Times New Roman" w:eastAsia="Times New Roman" w:hAnsi="Times New Roman" w:cs="Times New Roman"/>
          <w:sz w:val="24"/>
          <w:szCs w:val="24"/>
        </w:rPr>
        <w:t>В</w:t>
      </w:r>
      <w:proofErr w:type="gramEnd"/>
      <w:r w:rsidRPr="00BA077D">
        <w:rPr>
          <w:rFonts w:ascii="Times New Roman" w:eastAsia="Times New Roman" w:hAnsi="Times New Roman" w:cs="Times New Roman"/>
          <w:sz w:val="24"/>
          <w:szCs w:val="24"/>
        </w:rPr>
        <w:t xml:space="preserve">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bookmarkEnd w:id="0"/>
    <w:p w:rsidR="00BA077D" w:rsidRPr="00BC5905" w:rsidRDefault="00BA077D"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w:t>
      </w:r>
      <w:proofErr w:type="spellStart"/>
      <w:r w:rsidRPr="00BC5905">
        <w:rPr>
          <w:rFonts w:ascii="Times New Roman" w:eastAsia="Times New Roman" w:hAnsi="Times New Roman" w:cs="Times New Roman"/>
          <w:sz w:val="24"/>
          <w:szCs w:val="24"/>
        </w:rPr>
        <w:t>Konstantin</w:t>
      </w:r>
      <w:proofErr w:type="spellEnd"/>
      <w:r w:rsidRPr="00BC5905">
        <w:rPr>
          <w:rFonts w:ascii="Times New Roman" w:eastAsia="Times New Roman" w:hAnsi="Times New Roman" w:cs="Times New Roman"/>
          <w:sz w:val="24"/>
          <w:szCs w:val="24"/>
        </w:rPr>
        <w:t xml:space="preserve"> </w:t>
      </w:r>
      <w:proofErr w:type="spellStart"/>
      <w:r w:rsidRPr="00BC5905">
        <w:rPr>
          <w:rFonts w:ascii="Times New Roman" w:eastAsia="Times New Roman" w:hAnsi="Times New Roman" w:cs="Times New Roman"/>
          <w:sz w:val="24"/>
          <w:szCs w:val="24"/>
        </w:rPr>
        <w:t>Markin</w:t>
      </w:r>
      <w:proofErr w:type="spellEnd"/>
      <w:r w:rsidRPr="00BC5905">
        <w:rPr>
          <w:rFonts w:ascii="Times New Roman" w:eastAsia="Times New Roman" w:hAnsi="Times New Roman" w:cs="Times New Roman"/>
          <w:sz w:val="24"/>
          <w:szCs w:val="24"/>
        </w:rPr>
        <w:t xml:space="preserve"> v. </w:t>
      </w:r>
      <w:proofErr w:type="spellStart"/>
      <w:r w:rsidRPr="00BC5905">
        <w:rPr>
          <w:rFonts w:ascii="Times New Roman" w:eastAsia="Times New Roman" w:hAnsi="Times New Roman" w:cs="Times New Roman"/>
          <w:sz w:val="24"/>
          <w:szCs w:val="24"/>
        </w:rPr>
        <w:t>Russia</w:t>
      </w:r>
      <w:proofErr w:type="spellEnd"/>
      <w:r w:rsidRPr="00BC5905">
        <w:rPr>
          <w:rFonts w:ascii="Times New Roman" w:eastAsia="Times New Roman" w:hAnsi="Times New Roman" w:cs="Times New Roman"/>
          <w:sz w:val="24"/>
          <w:szCs w:val="24"/>
        </w:rPr>
        <w:t>]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w:t>
      </w:r>
      <w:proofErr w:type="spellStart"/>
      <w:r w:rsidR="00996592" w:rsidRPr="00BC5905">
        <w:rPr>
          <w:rFonts w:ascii="Times New Roman" w:eastAsia="Times New Roman" w:hAnsi="Times New Roman" w:cs="Times New Roman"/>
          <w:sz w:val="24"/>
          <w:szCs w:val="24"/>
        </w:rPr>
        <w:t>гр-ки</w:t>
      </w:r>
      <w:proofErr w:type="spellEnd"/>
      <w:r w:rsidR="00996592" w:rsidRPr="00BC5905">
        <w:rPr>
          <w:rFonts w:ascii="Times New Roman" w:eastAsia="Times New Roman" w:hAnsi="Times New Roman" w:cs="Times New Roman"/>
          <w:sz w:val="24"/>
          <w:szCs w:val="24"/>
        </w:rPr>
        <w:t xml:space="preserve">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w:t>
      </w:r>
      <w:r w:rsidR="00996592" w:rsidRPr="00BC5905">
        <w:rPr>
          <w:rFonts w:ascii="Times New Roman" w:eastAsia="Times New Roman" w:hAnsi="Times New Roman" w:cs="Times New Roman"/>
          <w:sz w:val="24"/>
          <w:szCs w:val="24"/>
        </w:rPr>
        <w:lastRenderedPageBreak/>
        <w:t>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 xml:space="preserve">Используя СПС </w:t>
      </w:r>
      <w:proofErr w:type="spellStart"/>
      <w:r w:rsidR="007F1A55" w:rsidRPr="00BC5905">
        <w:rPr>
          <w:rFonts w:ascii="Times New Roman" w:eastAsia="Times New Roman" w:hAnsi="Times New Roman" w:cs="Times New Roman"/>
          <w:sz w:val="24"/>
          <w:szCs w:val="24"/>
        </w:rPr>
        <w:t>КонсультантПлюс</w:t>
      </w:r>
      <w:proofErr w:type="spellEnd"/>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w:t>
      </w:r>
      <w:proofErr w:type="gramStart"/>
      <w:r w:rsidR="00B66D18" w:rsidRPr="00BC5905">
        <w:rPr>
          <w:rFonts w:ascii="Times New Roman" w:eastAsia="Times New Roman" w:hAnsi="Times New Roman" w:cs="Times New Roman"/>
          <w:sz w:val="24"/>
          <w:szCs w:val="24"/>
        </w:rPr>
        <w:t>Раздел</w:t>
      </w:r>
      <w:proofErr w:type="gramEnd"/>
      <w:r w:rsidR="00B66D18" w:rsidRPr="00BC5905">
        <w:rPr>
          <w:rFonts w:ascii="Times New Roman" w:eastAsia="Times New Roman" w:hAnsi="Times New Roman" w:cs="Times New Roman"/>
          <w:sz w:val="24"/>
          <w:szCs w:val="24"/>
        </w:rPr>
        <w:t xml:space="preserve">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 xml:space="preserve">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w:t>
      </w:r>
      <w:r w:rsidR="008E750D" w:rsidRPr="00BC5905">
        <w:rPr>
          <w:rFonts w:ascii="Times New Roman" w:eastAsia="Times New Roman" w:hAnsi="Times New Roman" w:cs="Times New Roman"/>
          <w:sz w:val="24"/>
          <w:szCs w:val="24"/>
        </w:rPr>
        <w:lastRenderedPageBreak/>
        <w:t>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proofErr w:type="gramStart"/>
      <w:r w:rsidR="004A0BBB" w:rsidRPr="00BC5905">
        <w:rPr>
          <w:rFonts w:ascii="Times New Roman" w:eastAsia="Times New Roman" w:hAnsi="Times New Roman" w:cs="Times New Roman"/>
          <w:sz w:val="24"/>
          <w:szCs w:val="24"/>
        </w:rPr>
        <w:t>В</w:t>
      </w:r>
      <w:proofErr w:type="gramEnd"/>
      <w:r w:rsidR="004A0BBB" w:rsidRPr="00BC5905">
        <w:rPr>
          <w:rFonts w:ascii="Times New Roman" w:eastAsia="Times New Roman" w:hAnsi="Times New Roman" w:cs="Times New Roman"/>
          <w:sz w:val="24"/>
          <w:szCs w:val="24"/>
        </w:rPr>
        <w:t xml:space="preserve">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xml:space="preserve">.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w:t>
      </w:r>
      <w:r w:rsidR="00B60FF8" w:rsidRPr="00BC5905">
        <w:rPr>
          <w:rFonts w:ascii="Times New Roman" w:eastAsia="Times New Roman" w:hAnsi="Times New Roman" w:cs="Times New Roman"/>
          <w:sz w:val="24"/>
          <w:szCs w:val="24"/>
        </w:rPr>
        <w:lastRenderedPageBreak/>
        <w:t>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w:t>
      </w:r>
      <w:proofErr w:type="gramStart"/>
      <w:r w:rsidR="00A21E9B" w:rsidRPr="00BC5905">
        <w:rPr>
          <w:rFonts w:ascii="Times New Roman" w:eastAsia="Times New Roman" w:hAnsi="Times New Roman" w:cs="Times New Roman"/>
          <w:sz w:val="24"/>
          <w:szCs w:val="24"/>
        </w:rPr>
        <w:t>В</w:t>
      </w:r>
      <w:proofErr w:type="gramEnd"/>
      <w:r w:rsidR="00A21E9B" w:rsidRPr="00BC5905">
        <w:rPr>
          <w:rFonts w:ascii="Times New Roman" w:eastAsia="Times New Roman" w:hAnsi="Times New Roman" w:cs="Times New Roman"/>
          <w:sz w:val="24"/>
          <w:szCs w:val="24"/>
        </w:rPr>
        <w:t xml:space="preserve">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w:t>
      </w:r>
      <w:proofErr w:type="spellStart"/>
      <w:r w:rsidR="000C1C2B" w:rsidRPr="00BC5905">
        <w:rPr>
          <w:rFonts w:ascii="Times New Roman" w:eastAsia="Times New Roman" w:hAnsi="Times New Roman" w:cs="Times New Roman"/>
          <w:sz w:val="24"/>
          <w:szCs w:val="24"/>
        </w:rPr>
        <w:t>ского</w:t>
      </w:r>
      <w:proofErr w:type="spellEnd"/>
      <w:r w:rsidR="000C1C2B" w:rsidRPr="00BC5905">
        <w:rPr>
          <w:rFonts w:ascii="Times New Roman" w:eastAsia="Times New Roman" w:hAnsi="Times New Roman" w:cs="Times New Roman"/>
          <w:sz w:val="24"/>
          <w:szCs w:val="24"/>
        </w:rPr>
        <w:t xml:space="preserve"> района с просьбой объединить данное поселение с городским поселением Т. Д-</w:t>
      </w:r>
      <w:proofErr w:type="spellStart"/>
      <w:r w:rsidR="000C1C2B" w:rsidRPr="00BC5905">
        <w:rPr>
          <w:rFonts w:ascii="Times New Roman" w:eastAsia="Times New Roman" w:hAnsi="Times New Roman" w:cs="Times New Roman"/>
          <w:sz w:val="24"/>
          <w:szCs w:val="24"/>
        </w:rPr>
        <w:t>ского</w:t>
      </w:r>
      <w:proofErr w:type="spellEnd"/>
      <w:r w:rsidR="000C1C2B" w:rsidRPr="00BC5905">
        <w:rPr>
          <w:rFonts w:ascii="Times New Roman" w:eastAsia="Times New Roman" w:hAnsi="Times New Roman" w:cs="Times New Roman"/>
          <w:sz w:val="24"/>
          <w:szCs w:val="24"/>
        </w:rPr>
        <w:t xml:space="preserve">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 xml:space="preserve">Система </w:t>
      </w:r>
      <w:proofErr w:type="spellStart"/>
      <w:r w:rsidR="00887923" w:rsidRPr="00BC5905">
        <w:rPr>
          <w:rFonts w:ascii="Times New Roman" w:eastAsia="Times New Roman" w:hAnsi="Times New Roman" w:cs="Times New Roman"/>
          <w:sz w:val="24"/>
          <w:szCs w:val="24"/>
        </w:rPr>
        <w:t>внутигосударственных</w:t>
      </w:r>
      <w:proofErr w:type="spellEnd"/>
      <w:r w:rsidR="00887923" w:rsidRPr="00BC5905">
        <w:rPr>
          <w:rFonts w:ascii="Times New Roman" w:eastAsia="Times New Roman" w:hAnsi="Times New Roman" w:cs="Times New Roman"/>
          <w:sz w:val="24"/>
          <w:szCs w:val="24"/>
        </w:rPr>
        <w:t xml:space="preserve">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proofErr w:type="gramStart"/>
      <w:r w:rsidR="00887923" w:rsidRPr="00BC5905">
        <w:rPr>
          <w:rFonts w:ascii="Times New Roman" w:eastAsia="Times New Roman" w:hAnsi="Times New Roman" w:cs="Times New Roman"/>
          <w:sz w:val="24"/>
          <w:szCs w:val="24"/>
        </w:rPr>
        <w:t>В</w:t>
      </w:r>
      <w:proofErr w:type="gramEnd"/>
      <w:r w:rsidR="00887923" w:rsidRPr="00BC5905">
        <w:rPr>
          <w:rFonts w:ascii="Times New Roman" w:eastAsia="Times New Roman" w:hAnsi="Times New Roman" w:cs="Times New Roman"/>
          <w:sz w:val="24"/>
          <w:szCs w:val="24"/>
        </w:rPr>
        <w:t xml:space="preserve">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w:t>
      </w:r>
      <w:proofErr w:type="gramStart"/>
      <w:r w:rsidR="00887923" w:rsidRPr="00BC5905">
        <w:rPr>
          <w:rFonts w:ascii="Times New Roman" w:eastAsia="Times New Roman" w:hAnsi="Times New Roman" w:cs="Times New Roman"/>
          <w:sz w:val="24"/>
          <w:szCs w:val="24"/>
        </w:rPr>
        <w:t>В</w:t>
      </w:r>
      <w:proofErr w:type="gramEnd"/>
      <w:r w:rsidR="00887923" w:rsidRPr="00BC5905">
        <w:rPr>
          <w:rFonts w:ascii="Times New Roman" w:eastAsia="Times New Roman" w:hAnsi="Times New Roman" w:cs="Times New Roman"/>
          <w:sz w:val="24"/>
          <w:szCs w:val="24"/>
        </w:rPr>
        <w:t xml:space="preserve">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 xml:space="preserve">Решение задач выполнено </w:t>
            </w:r>
            <w:r w:rsidRPr="00842EDB">
              <w:rPr>
                <w:sz w:val="24"/>
                <w:szCs w:val="24"/>
              </w:rPr>
              <w:lastRenderedPageBreak/>
              <w:t>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lastRenderedPageBreak/>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w:t>
            </w:r>
            <w:proofErr w:type="spellStart"/>
            <w:r w:rsidRPr="00071A83">
              <w:rPr>
                <w:sz w:val="24"/>
                <w:szCs w:val="24"/>
              </w:rPr>
              <w:t>цивилистические</w:t>
            </w:r>
            <w:proofErr w:type="spellEnd"/>
            <w:r w:rsidRPr="00071A83">
              <w:rPr>
                <w:sz w:val="24"/>
                <w:szCs w:val="24"/>
              </w:rPr>
              <w:t xml:space="preserve"> исследование, </w:t>
            </w:r>
            <w:proofErr w:type="gramStart"/>
            <w:r w:rsidRPr="00071A83">
              <w:rPr>
                <w:sz w:val="24"/>
                <w:szCs w:val="24"/>
              </w:rPr>
              <w:t>про-водившиеся</w:t>
            </w:r>
            <w:proofErr w:type="gramEnd"/>
            <w:r w:rsidRPr="00071A83">
              <w:rPr>
                <w:sz w:val="24"/>
                <w:szCs w:val="24"/>
              </w:rPr>
              <w:t xml:space="preserve">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Студенты не справились с предложенной ролью; не имеют необходимый объем знаний по теме; актуальность темы не </w:t>
            </w:r>
            <w:proofErr w:type="gramStart"/>
            <w:r w:rsidRPr="006A155A">
              <w:rPr>
                <w:sz w:val="24"/>
                <w:szCs w:val="24"/>
              </w:rPr>
              <w:t>рас-крыта</w:t>
            </w:r>
            <w:proofErr w:type="gramEnd"/>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w:t>
            </w:r>
            <w:r w:rsidRPr="00842EDB">
              <w:rPr>
                <w:sz w:val="24"/>
                <w:szCs w:val="24"/>
              </w:rPr>
              <w:lastRenderedPageBreak/>
              <w:t xml:space="preserve">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 xml:space="preserve">правильные формулировки, нарушение логической </w:t>
            </w:r>
            <w:r w:rsidRPr="006A155A">
              <w:rPr>
                <w:sz w:val="24"/>
                <w:szCs w:val="24"/>
              </w:rPr>
              <w:lastRenderedPageBreak/>
              <w:t>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w:t>
      </w:r>
      <w:proofErr w:type="spellStart"/>
      <w:r w:rsidRPr="006A155A">
        <w:rPr>
          <w:rFonts w:ascii="Times New Roman" w:eastAsia="Times New Roman" w:hAnsi="Times New Roman" w:cs="Times New Roman"/>
          <w:sz w:val="24"/>
          <w:szCs w:val="24"/>
        </w:rPr>
        <w:t>КонсультантПлюс</w:t>
      </w:r>
      <w:proofErr w:type="spellEnd"/>
      <w:r w:rsidRPr="006A155A">
        <w:rPr>
          <w:rFonts w:ascii="Times New Roman" w:eastAsia="Times New Roman" w:hAnsi="Times New Roman" w:cs="Times New Roman"/>
          <w:sz w:val="24"/>
          <w:szCs w:val="24"/>
        </w:rPr>
        <w:t>,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lastRenderedPageBreak/>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r>
      <w:proofErr w:type="spellStart"/>
      <w:r w:rsidRPr="007C03D8">
        <w:rPr>
          <w:rFonts w:ascii="Times New Roman" w:eastAsia="Times New Roman" w:hAnsi="Times New Roman" w:cs="Times New Roman"/>
          <w:sz w:val="24"/>
          <w:szCs w:val="24"/>
        </w:rPr>
        <w:t>Дискуссирование</w:t>
      </w:r>
      <w:proofErr w:type="spellEnd"/>
      <w:r w:rsidRPr="007C03D8">
        <w:rPr>
          <w:rFonts w:ascii="Times New Roman" w:eastAsia="Times New Roman" w:hAnsi="Times New Roman" w:cs="Times New Roman"/>
          <w:sz w:val="24"/>
          <w:szCs w:val="24"/>
        </w:rPr>
        <w:t>.</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 xml:space="preserve">Форма предоставления ответа студента: письменная или работа </w:t>
      </w:r>
      <w:proofErr w:type="gramStart"/>
      <w:r w:rsidR="00B458B5" w:rsidRPr="00B458B5">
        <w:rPr>
          <w:rFonts w:ascii="Times New Roman" w:eastAsia="Times New Roman" w:hAnsi="Times New Roman" w:cs="Times New Roman"/>
          <w:sz w:val="24"/>
          <w:szCs w:val="24"/>
        </w:rPr>
        <w:t>в  системе</w:t>
      </w:r>
      <w:proofErr w:type="gramEnd"/>
      <w:r w:rsidR="00B458B5" w:rsidRPr="00B458B5">
        <w:rPr>
          <w:rFonts w:ascii="Times New Roman" w:eastAsia="Times New Roman" w:hAnsi="Times New Roman" w:cs="Times New Roman"/>
          <w:sz w:val="24"/>
          <w:szCs w:val="24"/>
        </w:rPr>
        <w:t xml:space="preserve"> электронного обучения </w:t>
      </w:r>
      <w:proofErr w:type="spellStart"/>
      <w:r w:rsidR="00B458B5" w:rsidRPr="00B458B5">
        <w:rPr>
          <w:rFonts w:ascii="Times New Roman" w:eastAsia="Times New Roman" w:hAnsi="Times New Roman" w:cs="Times New Roman"/>
          <w:sz w:val="24"/>
          <w:szCs w:val="24"/>
        </w:rPr>
        <w:t>Мoodle</w:t>
      </w:r>
      <w:proofErr w:type="spellEnd"/>
      <w:r w:rsidR="00B458B5" w:rsidRPr="00B458B5">
        <w:rPr>
          <w:rFonts w:ascii="Times New Roman" w:eastAsia="Times New Roman" w:hAnsi="Times New Roman" w:cs="Times New Roman"/>
          <w:sz w:val="24"/>
          <w:szCs w:val="24"/>
        </w:rPr>
        <w:t>.</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w:t>
      </w:r>
      <w:r w:rsidRPr="00B458B5">
        <w:rPr>
          <w:rFonts w:ascii="Times New Roman" w:eastAsia="Times New Roman" w:hAnsi="Times New Roman" w:cs="Times New Roman"/>
          <w:sz w:val="24"/>
          <w:szCs w:val="24"/>
        </w:rPr>
        <w:lastRenderedPageBreak/>
        <w:t>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53" w:rsidRDefault="00DF1753" w:rsidP="00A13401">
      <w:pPr>
        <w:spacing w:after="0" w:line="240" w:lineRule="auto"/>
      </w:pPr>
      <w:r>
        <w:separator/>
      </w:r>
    </w:p>
  </w:endnote>
  <w:endnote w:type="continuationSeparator" w:id="0">
    <w:p w:rsidR="00DF1753" w:rsidRDefault="00DF175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53" w:rsidRDefault="00DF1753" w:rsidP="00A13401">
      <w:pPr>
        <w:spacing w:after="0" w:line="240" w:lineRule="auto"/>
      </w:pPr>
      <w:r>
        <w:separator/>
      </w:r>
    </w:p>
  </w:footnote>
  <w:footnote w:type="continuationSeparator" w:id="0">
    <w:p w:rsidR="00DF1753" w:rsidRDefault="00DF1753"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w:t>
      </w:r>
      <w:proofErr w:type="gramStart"/>
      <w:r w:rsidRPr="00996592">
        <w:rPr>
          <w:rFonts w:ascii="Times New Roman" w:hAnsi="Times New Roman"/>
        </w:rPr>
        <w:t>Федерации :</w:t>
      </w:r>
      <w:proofErr w:type="gramEnd"/>
      <w:r w:rsidRPr="00996592">
        <w:rPr>
          <w:rFonts w:ascii="Times New Roman" w:hAnsi="Times New Roman"/>
        </w:rPr>
        <w:t xml:space="preserve"> в 2 т. Т. 2 Особенная часть : учебник и практикум для бакалавриата и магистратуры / И. А. Умнова (Конюхова). – </w:t>
      </w:r>
      <w:proofErr w:type="gramStart"/>
      <w:r w:rsidRPr="00996592">
        <w:rPr>
          <w:rFonts w:ascii="Times New Roman" w:hAnsi="Times New Roman"/>
        </w:rPr>
        <w:t>М. :</w:t>
      </w:r>
      <w:proofErr w:type="gramEnd"/>
      <w:r w:rsidRPr="00996592">
        <w:rPr>
          <w:rFonts w:ascii="Times New Roman" w:hAnsi="Times New Roman"/>
        </w:rPr>
        <w:t xml:space="preserve">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F0F90"/>
    <w:rsid w:val="002F3B79"/>
    <w:rsid w:val="00325E0B"/>
    <w:rsid w:val="003363F6"/>
    <w:rsid w:val="00355724"/>
    <w:rsid w:val="00391F5B"/>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83959"/>
    <w:rsid w:val="00996592"/>
    <w:rsid w:val="009A4186"/>
    <w:rsid w:val="009E61B1"/>
    <w:rsid w:val="00A02B96"/>
    <w:rsid w:val="00A13401"/>
    <w:rsid w:val="00A219E5"/>
    <w:rsid w:val="00A21E9B"/>
    <w:rsid w:val="00A3582A"/>
    <w:rsid w:val="00A3786F"/>
    <w:rsid w:val="00A43E47"/>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C356C4"/>
    <w:rsid w:val="00C62DE4"/>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0968-FFAB-44FB-BF8C-3E3536C7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20166</Words>
  <Characters>114949</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2019-10-30T06:24:00Z</cp:lastPrinted>
  <dcterms:created xsi:type="dcterms:W3CDTF">2019-11-26T09:24:00Z</dcterms:created>
  <dcterms:modified xsi:type="dcterms:W3CDTF">2019-12-02T05:27:00Z</dcterms:modified>
</cp:coreProperties>
</file>