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D566B7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«Б.1.В.ДВ.7.1 Деловое общение»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EF4062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EF40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EF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EF406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60B56">
        <w:rPr>
          <w:rFonts w:ascii="Times New Roman" w:eastAsia="Times New Roman" w:hAnsi="Times New Roman"/>
          <w:sz w:val="28"/>
          <w:szCs w:val="28"/>
        </w:rPr>
        <w:t>Деловое общ</w:t>
      </w:r>
      <w:r w:rsidR="00760B56">
        <w:rPr>
          <w:rFonts w:ascii="Times New Roman" w:eastAsia="Times New Roman" w:hAnsi="Times New Roman"/>
          <w:sz w:val="28"/>
          <w:szCs w:val="28"/>
        </w:rPr>
        <w:t>е</w:t>
      </w:r>
      <w:r w:rsidR="00760B56">
        <w:rPr>
          <w:rFonts w:ascii="Times New Roman" w:eastAsia="Times New Roman" w:hAnsi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EF406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F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Pr="00EF4062" w:rsidRDefault="001970F6" w:rsidP="001970F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F4062">
        <w:rPr>
          <w:b/>
          <w:sz w:val="28"/>
          <w:szCs w:val="28"/>
        </w:rPr>
        <w:t xml:space="preserve">Цель (цели) </w:t>
      </w:r>
      <w:r w:rsidRPr="00EF4062">
        <w:rPr>
          <w:sz w:val="28"/>
          <w:szCs w:val="28"/>
        </w:rPr>
        <w:t>освоения дисциплины: изучение сущности и особенностей делового общения, основных требований делового общения в процессе деловой беседы, коммерческих переговоров, проведения деловых собраний и совещаний, публичных выступлений; обучение механизмам взаимодействия и преодоления конфликтов в процессе общения; знакомство с разнообразием национальных моделей общения, поведения и различными этическими принципами.</w:t>
      </w:r>
    </w:p>
    <w:p w:rsidR="001970F6" w:rsidRPr="00EF4062" w:rsidRDefault="001970F6" w:rsidP="001970F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EF4062">
        <w:rPr>
          <w:b/>
          <w:sz w:val="28"/>
          <w:szCs w:val="28"/>
        </w:rPr>
        <w:t xml:space="preserve">Задачи: </w:t>
      </w:r>
    </w:p>
    <w:p w:rsidR="001970F6" w:rsidRPr="00EF4062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4062">
        <w:rPr>
          <w:sz w:val="28"/>
          <w:szCs w:val="28"/>
        </w:rPr>
        <w:t xml:space="preserve">сформировать представление о сущности общения как социально-психологическом механизме взаимодействия; </w:t>
      </w:r>
    </w:p>
    <w:p w:rsidR="001970F6" w:rsidRPr="00EF4062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4062">
        <w:rPr>
          <w:sz w:val="28"/>
          <w:szCs w:val="28"/>
        </w:rPr>
        <w:t>раскрыть содержание, специфику, структуру делового общения;</w:t>
      </w:r>
    </w:p>
    <w:p w:rsidR="001970F6" w:rsidRPr="00EF4062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4062">
        <w:rPr>
          <w:sz w:val="28"/>
          <w:szCs w:val="28"/>
        </w:rPr>
        <w:t xml:space="preserve">сформировать умение пользоваться основными способами и приёмами деловой коммуникации; </w:t>
      </w:r>
    </w:p>
    <w:p w:rsidR="001970F6" w:rsidRPr="00EF4062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4062">
        <w:rPr>
          <w:sz w:val="28"/>
          <w:szCs w:val="28"/>
        </w:rPr>
        <w:t>развить навыки публичного выступления, проведения собраний, совещаний, переговоров, деловых бесед;</w:t>
      </w:r>
    </w:p>
    <w:p w:rsidR="001970F6" w:rsidRPr="00EF4062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4062">
        <w:rPr>
          <w:sz w:val="28"/>
          <w:szCs w:val="28"/>
        </w:rPr>
        <w:lastRenderedPageBreak/>
        <w:t xml:space="preserve">обучить механизмам взаимодействия и преодоления конфликтов в процессе общения; </w:t>
      </w:r>
    </w:p>
    <w:p w:rsidR="001970F6" w:rsidRPr="00EF4062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EF4062">
        <w:rPr>
          <w:sz w:val="28"/>
          <w:szCs w:val="28"/>
        </w:rPr>
        <w:t>сформировать представление о стилях общения и социально-психологических проблемах руководства, методах снятия психологического напряжения в процессе деловой коммуникации.</w:t>
      </w: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tbl>
      <w:tblPr>
        <w:tblW w:w="11061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886"/>
        <w:gridCol w:w="3175"/>
      </w:tblGrid>
      <w:tr w:rsidR="001970F6" w:rsidTr="001970F6">
        <w:trPr>
          <w:tblHeader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этносов, социальных групп и индивидуальных психологических особенностей личности.</w:t>
            </w:r>
          </w:p>
          <w:p w:rsidR="001970F6" w:rsidRDefault="001970F6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ОК-5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способы сбора научной информации;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основы математической и статистической обработки исследуемого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риала; методику работы с современными электронно-вычислительными машинами и ПК; методы обработки данных, необходимых для решения профессиональных задач.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осуществлять сбор, обработку и анализ информационных данных;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>анализировать данные, необходимые для решения тех или иных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сиональных задач 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Владеть: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технологией сбора первичной и вторичной научной информации;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 методами обработки данных, необходимых для решения профессионал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задач, навыками выполнения соответствующих аналитических отчетов</w:t>
            </w:r>
            <w:proofErr w:type="gramStart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,</w:t>
            </w:r>
            <w:proofErr w:type="gramEnd"/>
            <w:r>
              <w:rPr>
                <w:szCs w:val="24"/>
              </w:rPr>
              <w:t xml:space="preserve"> методами сбора данных для выполнения информационного обзора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lastRenderedPageBreak/>
      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F5189" w:rsidRDefault="001F5189" w:rsidP="001F518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F5189" w:rsidRDefault="001F5189" w:rsidP="001F5189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1F5189" w:rsidRDefault="001F5189" w:rsidP="001F5189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F5189" w:rsidTr="001F5189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F5189" w:rsidTr="001F5189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12,25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95,75</w:t>
            </w:r>
          </w:p>
        </w:tc>
      </w:tr>
      <w:tr w:rsidR="001F5189" w:rsidTr="001F5189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- самостоятельное изучение разделов;</w:t>
            </w:r>
          </w:p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F5189" w:rsidRDefault="001F5189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начает отказ от каких-то идей или подробностей, особенно, если они уже где-то упоминались или не имеют непосредственного отношения к делу. Такие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9F2D05">
        <w:rPr>
          <w:sz w:val="28"/>
          <w:szCs w:val="27"/>
          <w:shd w:val="clear" w:color="auto" w:fill="FEFEFE"/>
        </w:rPr>
        <w:lastRenderedPageBreak/>
        <w:t>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сивов имеет свои преимущества в эффективности обучения за счет активизации </w:t>
      </w:r>
      <w:r w:rsidR="00345519">
        <w:rPr>
          <w:sz w:val="27"/>
          <w:szCs w:val="27"/>
        </w:rPr>
        <w:lastRenderedPageBreak/>
        <w:t>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64484" w:rsidTr="00764484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принципы этики деловых отношений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Коммуникативная культура в деловом общении.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Виды делового общения.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 речи в деловом общении</w:t>
            </w:r>
            <w:proofErr w:type="gramStart"/>
            <w:r>
              <w:rPr>
                <w:rFonts w:eastAsia="Times New Roman"/>
              </w:rPr>
              <w:t>..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Этика использования средств выразительности деловой речи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D8062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Формы делового общения и правила их реализации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подготовки и проведения служебных совещаний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Правила проведения переговоров с деловыми партнерами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45C4D" w:rsidRDefault="00745C4D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764484">
        <w:rPr>
          <w:rFonts w:eastAsia="Times New Roman"/>
          <w:szCs w:val="22"/>
        </w:rPr>
        <w:t>Основные принципы этики деловых отношений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764484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764484">
        <w:rPr>
          <w:szCs w:val="24"/>
        </w:rPr>
        <w:t>Сущность этики деловых отношений. Основные п</w:t>
      </w:r>
      <w:r w:rsidR="00EA6824">
        <w:rPr>
          <w:szCs w:val="24"/>
        </w:rPr>
        <w:t>ринципы этики деловых 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Pr="00764484">
        <w:rPr>
          <w:szCs w:val="24"/>
        </w:rPr>
        <w:t xml:space="preserve"> Закономерности межличностных отношений. Этические проблемы деловых отношений</w:t>
      </w:r>
      <w:r>
        <w:rPr>
          <w:szCs w:val="24"/>
        </w:rPr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EA6824">
        <w:rPr>
          <w:rFonts w:eastAsia="Times New Roman"/>
        </w:rPr>
        <w:t>Коммуникативная культура в деловом общении.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lastRenderedPageBreak/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4A5E0B">
        <w:rPr>
          <w:rFonts w:eastAsia="Times New Roman"/>
        </w:rPr>
        <w:t>Виды делового общения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ED5AEC">
        <w:rPr>
          <w:rFonts w:eastAsia="Times New Roman"/>
        </w:rPr>
        <w:t>Культура речи в деловом общении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3F477C">
        <w:rPr>
          <w:rFonts w:eastAsia="Times New Roman"/>
        </w:rPr>
        <w:t>Этика использования средств выразительности деловой речи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3F477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Варьирование тональности выступления. Выделение главных мыслей. Постановка риторических вопросов. Использование форм диалога. Включение образных сравнений, поговорок и прочего. Использование примеров. Применение повторов.</w:t>
      </w:r>
      <w:r w:rsidR="00D8062E">
        <w:rPr>
          <w:rFonts w:ascii="Calibri" w:eastAsia="Times New Roman" w:hAnsi="Calibri"/>
        </w:rPr>
        <w:t xml:space="preserve"> Демонстрация заинтересованности и убежденности.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компетенции ПК-7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D8062E">
        <w:t xml:space="preserve"> Формы делового общения и правила их реализации</w:t>
      </w:r>
      <w:proofErr w:type="gramStart"/>
      <w:r>
        <w:rPr>
          <w:rFonts w:ascii="Calibri" w:eastAsia="Times New Roman" w:hAnsi="Calibri"/>
        </w:rPr>
        <w:t xml:space="preserve"> К</w:t>
      </w:r>
      <w:proofErr w:type="gramEnd"/>
      <w:r>
        <w:rPr>
          <w:rFonts w:ascii="Calibri" w:eastAsia="Times New Roman" w:hAnsi="Calibri"/>
        </w:rPr>
        <w:t xml:space="preserve"> </w:t>
      </w:r>
      <w:r w:rsidRPr="00AC1419">
        <w:rPr>
          <w:rFonts w:ascii="Calibri" w:eastAsia="Times New Roman" w:hAnsi="Calibri"/>
        </w:rPr>
        <w:t>обсуждению предлаг</w:t>
      </w:r>
      <w:r w:rsidRPr="00AC1419">
        <w:rPr>
          <w:rFonts w:ascii="Calibri" w:eastAsia="Times New Roman" w:hAnsi="Calibri"/>
        </w:rPr>
        <w:t>а</w:t>
      </w:r>
      <w:r w:rsidRPr="00AC1419">
        <w:rPr>
          <w:rFonts w:ascii="Calibri" w:eastAsia="Times New Roman" w:hAnsi="Calibri"/>
        </w:rPr>
        <w:t xml:space="preserve">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D8062E" w:rsidRDefault="002A4342" w:rsidP="00D8062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 xml:space="preserve"> </w:t>
      </w:r>
      <w:r w:rsidR="00D8062E">
        <w:rPr>
          <w:rFonts w:eastAsia="Times New Roman"/>
        </w:rPr>
        <w:t>Правила подготовки и проведения деловой беседы. Правила подготовки и провед</w:t>
      </w:r>
      <w:r w:rsidR="00D8062E">
        <w:rPr>
          <w:rFonts w:eastAsia="Times New Roman"/>
        </w:rPr>
        <w:t>е</w:t>
      </w:r>
      <w:r w:rsidR="00D8062E">
        <w:rPr>
          <w:rFonts w:eastAsia="Times New Roman"/>
        </w:rPr>
        <w:t>ния служебных совещаний. Правила проведения переговоров с деловыми партнерами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D8062E">
        <w:rPr>
          <w:rFonts w:eastAsia="Times New Roman"/>
        </w:rPr>
        <w:t>Правила подготовки и проведения служебных совещаний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Pr="00960A7B" w:rsidRDefault="00960A7B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60A7B">
        <w:rPr>
          <w:rFonts w:ascii="Calibri" w:eastAsia="Times New Roman" w:hAnsi="Calibri"/>
        </w:rPr>
        <w:t>Открытость инф</w:t>
      </w:r>
      <w:r>
        <w:rPr>
          <w:rFonts w:ascii="Calibri" w:eastAsia="Times New Roman" w:hAnsi="Calibri"/>
        </w:rPr>
        <w:t>о</w:t>
      </w:r>
      <w:r w:rsidRPr="00960A7B">
        <w:rPr>
          <w:rFonts w:ascii="Calibri" w:eastAsia="Times New Roman" w:hAnsi="Calibri"/>
        </w:rPr>
        <w:t>рмационной системы организации</w:t>
      </w:r>
      <w:r>
        <w:rPr>
          <w:rFonts w:ascii="Calibri" w:eastAsia="Times New Roman" w:hAnsi="Calibri"/>
          <w:b/>
        </w:rPr>
        <w:t xml:space="preserve">. </w:t>
      </w:r>
      <w:r w:rsidRPr="00960A7B">
        <w:rPr>
          <w:rFonts w:ascii="Calibri" w:eastAsia="Times New Roman" w:hAnsi="Calibri"/>
        </w:rPr>
        <w:t>Показатель действенности с</w:t>
      </w:r>
      <w:r w:rsidRPr="00960A7B">
        <w:rPr>
          <w:rFonts w:ascii="Calibri" w:eastAsia="Times New Roman" w:hAnsi="Calibri"/>
        </w:rPr>
        <w:t>о</w:t>
      </w:r>
      <w:r w:rsidRPr="00960A7B">
        <w:rPr>
          <w:rFonts w:ascii="Calibri" w:eastAsia="Times New Roman" w:hAnsi="Calibri"/>
        </w:rPr>
        <w:t>вещания.</w:t>
      </w:r>
      <w:r>
        <w:rPr>
          <w:rFonts w:ascii="Calibri" w:eastAsia="Times New Roman" w:hAnsi="Calibri"/>
        </w:rPr>
        <w:t xml:space="preserve"> Допустимая длительность совещания. Инструктивные совещания. Оперативные совещания. Проблемные совещания.</w:t>
      </w:r>
    </w:p>
    <w:p w:rsidR="00BC2584" w:rsidRDefault="00BC2584" w:rsidP="00D8062E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Правила проведения переговоров с деловыми партнерами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60A7B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B3419C">
        <w:rPr>
          <w:rFonts w:ascii="Calibri" w:eastAsia="Times New Roman" w:hAnsi="Calibri"/>
        </w:rPr>
        <w:t>Выбор средств переговоров</w:t>
      </w:r>
      <w:r>
        <w:rPr>
          <w:rFonts w:ascii="Calibri" w:eastAsia="Times New Roman" w:hAnsi="Calibri"/>
          <w:b/>
        </w:rPr>
        <w:t>.</w:t>
      </w:r>
      <w:r w:rsidR="00B3419C">
        <w:rPr>
          <w:rFonts w:ascii="Calibri" w:eastAsia="Times New Roman" w:hAnsi="Calibri"/>
          <w:b/>
        </w:rPr>
        <w:t xml:space="preserve"> </w:t>
      </w:r>
      <w:r w:rsidR="00B3419C" w:rsidRPr="00B3419C">
        <w:rPr>
          <w:rFonts w:ascii="Calibri" w:eastAsia="Times New Roman" w:hAnsi="Calibri"/>
        </w:rPr>
        <w:t>Установление контакта между сторонами.</w:t>
      </w:r>
      <w:r w:rsidR="00B3419C">
        <w:rPr>
          <w:rFonts w:ascii="Calibri" w:eastAsia="Times New Roman" w:hAnsi="Calibri"/>
        </w:rPr>
        <w:t xml:space="preserve"> Сбор и ан</w:t>
      </w:r>
      <w:r w:rsidR="00B3419C">
        <w:rPr>
          <w:rFonts w:ascii="Calibri" w:eastAsia="Times New Roman" w:hAnsi="Calibri"/>
        </w:rPr>
        <w:t>а</w:t>
      </w:r>
      <w:r w:rsidR="00B3419C">
        <w:rPr>
          <w:rFonts w:ascii="Calibri" w:eastAsia="Times New Roman" w:hAnsi="Calibri"/>
        </w:rPr>
        <w:t>лиз необходимой для переговоров информации. Разработка плана переговоров. Форм</w:t>
      </w:r>
      <w:r w:rsidR="00B3419C">
        <w:rPr>
          <w:rFonts w:ascii="Calibri" w:eastAsia="Times New Roman" w:hAnsi="Calibri"/>
        </w:rPr>
        <w:t>и</w:t>
      </w:r>
      <w:r w:rsidR="00B3419C">
        <w:rPr>
          <w:rFonts w:ascii="Calibri" w:eastAsia="Times New Roman" w:hAnsi="Calibri"/>
        </w:rPr>
        <w:lastRenderedPageBreak/>
        <w:t>рование атмосферы взаимного доверия. Стадии ведения переговоров: подготовка пер</w:t>
      </w:r>
      <w:r w:rsidR="00B3419C">
        <w:rPr>
          <w:rFonts w:ascii="Calibri" w:eastAsia="Times New Roman" w:hAnsi="Calibri"/>
        </w:rPr>
        <w:t>е</w:t>
      </w:r>
      <w:r w:rsidR="00B3419C">
        <w:rPr>
          <w:rFonts w:ascii="Calibri" w:eastAsia="Times New Roman" w:hAnsi="Calibri"/>
        </w:rPr>
        <w:t>говоров, процесс переговоров, достижение согласия Подходы ведения переговоров: мя</w:t>
      </w:r>
      <w:r w:rsidR="00B3419C">
        <w:rPr>
          <w:rFonts w:ascii="Calibri" w:eastAsia="Times New Roman" w:hAnsi="Calibri"/>
        </w:rPr>
        <w:t>г</w:t>
      </w:r>
      <w:r w:rsidR="00B3419C">
        <w:rPr>
          <w:rFonts w:ascii="Calibri" w:eastAsia="Times New Roman" w:hAnsi="Calibri"/>
        </w:rPr>
        <w:t>кий подход, жесткий подход, принципиальный подхо</w:t>
      </w:r>
      <w:proofErr w:type="gramStart"/>
      <w:r w:rsidR="00B3419C">
        <w:rPr>
          <w:rFonts w:ascii="Calibri" w:eastAsia="Times New Roman" w:hAnsi="Calibri"/>
        </w:rPr>
        <w:t>д(</w:t>
      </w:r>
      <w:proofErr w:type="gramEnd"/>
      <w:r w:rsidR="00B3419C">
        <w:rPr>
          <w:rFonts w:ascii="Calibri" w:eastAsia="Times New Roman" w:hAnsi="Calibri"/>
        </w:rPr>
        <w:t xml:space="preserve"> с учетом интересов сторон)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3419C">
        <w:t xml:space="preserve"> компетенции ПК-7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lastRenderedPageBreak/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9C" w:rsidRDefault="00B3419C" w:rsidP="00817BE6">
      <w:pPr>
        <w:spacing w:after="0" w:line="240" w:lineRule="auto"/>
      </w:pPr>
      <w:r>
        <w:separator/>
      </w:r>
    </w:p>
  </w:endnote>
  <w:endnote w:type="continuationSeparator" w:id="0">
    <w:p w:rsidR="00B3419C" w:rsidRDefault="00B3419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3419C" w:rsidRDefault="00A40EE7">
        <w:pPr>
          <w:pStyle w:val="a7"/>
          <w:jc w:val="center"/>
        </w:pPr>
        <w:fldSimple w:instr="PAGE   \* MERGEFORMAT">
          <w:r w:rsidR="00EF4062">
            <w:rPr>
              <w:noProof/>
            </w:rPr>
            <w:t>4</w:t>
          </w:r>
        </w:fldSimple>
      </w:p>
    </w:sdtContent>
  </w:sdt>
  <w:p w:rsidR="00B3419C" w:rsidRDefault="00B341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9C" w:rsidRDefault="00B3419C" w:rsidP="00817BE6">
      <w:pPr>
        <w:spacing w:after="0" w:line="240" w:lineRule="auto"/>
      </w:pPr>
      <w:r>
        <w:separator/>
      </w:r>
    </w:p>
  </w:footnote>
  <w:footnote w:type="continuationSeparator" w:id="0">
    <w:p w:rsidR="00B3419C" w:rsidRDefault="00B3419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60C5"/>
    <w:rsid w:val="001D7710"/>
    <w:rsid w:val="001E0C46"/>
    <w:rsid w:val="001F5189"/>
    <w:rsid w:val="001F6427"/>
    <w:rsid w:val="00226CDC"/>
    <w:rsid w:val="002424BE"/>
    <w:rsid w:val="00252D95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0EE7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13B92"/>
    <w:rsid w:val="00B212B6"/>
    <w:rsid w:val="00B3419C"/>
    <w:rsid w:val="00B37660"/>
    <w:rsid w:val="00B55747"/>
    <w:rsid w:val="00B70C03"/>
    <w:rsid w:val="00B7266B"/>
    <w:rsid w:val="00B80AC3"/>
    <w:rsid w:val="00B85649"/>
    <w:rsid w:val="00B93A08"/>
    <w:rsid w:val="00B95395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D21FDD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F0B65"/>
    <w:rsid w:val="00EF4062"/>
    <w:rsid w:val="00F023A0"/>
    <w:rsid w:val="00F14392"/>
    <w:rsid w:val="00F1559F"/>
    <w:rsid w:val="00F46FAD"/>
    <w:rsid w:val="00F67ABC"/>
    <w:rsid w:val="00F919E3"/>
    <w:rsid w:val="00FC1C8B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D36C-9191-42CF-AECE-C6438E29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27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71</cp:revision>
  <dcterms:created xsi:type="dcterms:W3CDTF">2016-10-09T16:26:00Z</dcterms:created>
  <dcterms:modified xsi:type="dcterms:W3CDTF">2019-12-07T16:01:00Z</dcterms:modified>
</cp:coreProperties>
</file>