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5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420FD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5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5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20FD0"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F04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5F04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7332C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Default="00BD3C36" w:rsidP="007332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7332CD" w:rsidRDefault="007332CD" w:rsidP="007332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332CD" w:rsidRDefault="007332CD" w:rsidP="007332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332CD" w:rsidRDefault="007332CD" w:rsidP="007332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332CD" w:rsidRPr="005C3307" w:rsidRDefault="007332CD" w:rsidP="007332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7332CD" w:rsidRDefault="007332C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 xml:space="preserve">зания к  практическим занятиям. – Бузулук: Бузулукский гуманитарно-технологический институт (филиал) ОГУ, 2016 – </w:t>
      </w:r>
      <w:r w:rsidR="00DD39B6">
        <w:rPr>
          <w:sz w:val="28"/>
          <w:szCs w:val="27"/>
          <w:shd w:val="clear" w:color="auto" w:fill="FEFEFE"/>
        </w:rPr>
        <w:t>104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2016 – 1</w:t>
      </w:r>
      <w:r w:rsidR="00A7314A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09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lastRenderedPageBreak/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4284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4E" w:rsidRDefault="0050644E" w:rsidP="00817BE6">
      <w:pPr>
        <w:spacing w:after="0" w:line="240" w:lineRule="auto"/>
      </w:pPr>
      <w:r>
        <w:separator/>
      </w:r>
    </w:p>
  </w:endnote>
  <w:endnote w:type="continuationSeparator" w:id="0">
    <w:p w:rsidR="0050644E" w:rsidRDefault="0050644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4E" w:rsidRDefault="0050644E" w:rsidP="00817BE6">
      <w:pPr>
        <w:spacing w:after="0" w:line="240" w:lineRule="auto"/>
      </w:pPr>
      <w:r>
        <w:separator/>
      </w:r>
    </w:p>
  </w:footnote>
  <w:footnote w:type="continuationSeparator" w:id="0">
    <w:p w:rsidR="0050644E" w:rsidRDefault="0050644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D7126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20FD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0644E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332CD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14A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39B6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46B9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D598-D3E2-46B2-AE30-DBF2F778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2016-10-27T10:34:00Z</cp:lastPrinted>
  <dcterms:created xsi:type="dcterms:W3CDTF">2019-01-17T05:27:00Z</dcterms:created>
  <dcterms:modified xsi:type="dcterms:W3CDTF">2020-01-08T18:44:00Z</dcterms:modified>
</cp:coreProperties>
</file>