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E75EDF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lastRenderedPageBreak/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727177">
        <w:rPr>
          <w:sz w:val="24"/>
          <w:szCs w:val="24"/>
        </w:rPr>
        <w:t>В</w:t>
      </w:r>
      <w:proofErr w:type="gramEnd"/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январь – 287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февраль – 260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март – 204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апрель – 237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май - 209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июнь – 234 тыс. руб.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Рассчитайте сумму страховых взносов,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–265400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15%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надбавка за выслугу лет – 10%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уходу за больным ребенком – 4810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к отпуску – 12500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отпуска 37654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за работу в праздничные дни – 6600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в связи со смертью члена семьи – 15000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за обучение работника в институте – 25000 руб.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фонд, укажите сроки уплаты страховых взносов, сроки представления отчетности.</w:t>
      </w:r>
    </w:p>
    <w:p w:rsidR="00492402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 115700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15% основного заработка;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пособие по уходу за больным ребенком – 4810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единовременная материальная помощь – 12000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расходы на оплату отпуска 17654 руб.;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начисления за работу в праздничные дни – 6600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материальная помощь в связи со смертью члена семьи – 15000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- за обучение ребенка работника в институте – 25000 руб.</w:t>
      </w:r>
    </w:p>
    <w:p w:rsidR="00492402" w:rsidRPr="009F3BF0" w:rsidRDefault="00492402" w:rsidP="007F1C9D">
      <w:pPr>
        <w:spacing w:after="0" w:line="240" w:lineRule="auto"/>
        <w:ind w:firstLine="902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 264000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10% основного заработка;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временной нетрудоспособности – 4814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lastRenderedPageBreak/>
        <w:t>- единовременная материальная помощь к отпуску – 5000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командировочных расходов – 2054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оплата за обучение на курсах повышения квалификации – 6800 руб.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январь – 214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февраль – 197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март – 216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апрель – 194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май - 214 тыс. руб.;</w:t>
      </w:r>
    </w:p>
    <w:p w:rsidR="007F1C9D" w:rsidRPr="009F3BF0" w:rsidRDefault="007F1C9D" w:rsidP="007F1C9D">
      <w:pPr>
        <w:spacing w:after="0" w:line="240" w:lineRule="auto"/>
        <w:ind w:firstLine="851"/>
        <w:jc w:val="both"/>
        <w:rPr>
          <w:szCs w:val="24"/>
        </w:rPr>
      </w:pPr>
      <w:r w:rsidRPr="009F3BF0">
        <w:rPr>
          <w:szCs w:val="24"/>
        </w:rPr>
        <w:t>- июнь – 183 тыс. руб.</w:t>
      </w:r>
    </w:p>
    <w:p w:rsidR="007F1C9D" w:rsidRPr="009F3BF0" w:rsidRDefault="007F1C9D" w:rsidP="009F3BF0">
      <w:pPr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Рассчитайте сумму страховых взносов, которую организация должна уплатить за отчетные периоды в каждый фонд.</w:t>
      </w:r>
    </w:p>
    <w:p w:rsidR="0054548B" w:rsidRPr="009F3BF0" w:rsidRDefault="00127FBB" w:rsidP="009F3BF0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</w:p>
    <w:p w:rsidR="0054548B" w:rsidRPr="009F3BF0" w:rsidRDefault="0054548B" w:rsidP="009F3BF0">
      <w:pPr>
        <w:pStyle w:val="a7"/>
        <w:spacing w:after="0"/>
        <w:ind w:left="0" w:firstLine="709"/>
        <w:rPr>
          <w:szCs w:val="24"/>
        </w:rPr>
      </w:pPr>
      <w:r w:rsidRPr="009F3BF0">
        <w:rPr>
          <w:szCs w:val="24"/>
        </w:rPr>
        <w:t>Рассчита</w:t>
      </w:r>
      <w:r w:rsidR="00127FBB" w:rsidRPr="009F3BF0">
        <w:rPr>
          <w:szCs w:val="24"/>
        </w:rPr>
        <w:t>йте</w:t>
      </w:r>
      <w:r w:rsidRPr="009F3BF0">
        <w:rPr>
          <w:szCs w:val="24"/>
        </w:rPr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lastRenderedPageBreak/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F060FF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2014 г. составили 398517 руб., за 2015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7F02D4" w:rsidRPr="009F3BF0">
        <w:rPr>
          <w:szCs w:val="24"/>
        </w:rPr>
        <w:t>4</w:t>
      </w:r>
      <w:r w:rsidRPr="009F3BF0">
        <w:rPr>
          <w:szCs w:val="24"/>
        </w:rPr>
        <w:t xml:space="preserve"> год – 385500 руб., за 201</w:t>
      </w:r>
      <w:r w:rsidR="007F02D4" w:rsidRPr="009F3BF0">
        <w:rPr>
          <w:szCs w:val="24"/>
        </w:rPr>
        <w:t>5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г. составили 398517 руб., за 201</w:t>
      </w:r>
      <w:r w:rsidR="007F02D4" w:rsidRPr="009F3BF0">
        <w:rPr>
          <w:szCs w:val="24"/>
        </w:rPr>
        <w:t>5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7F02D4" w:rsidRPr="009F3BF0">
        <w:rPr>
          <w:szCs w:val="24"/>
        </w:rPr>
        <w:t>3</w:t>
      </w:r>
      <w:r w:rsidR="00E32EC8" w:rsidRPr="009F3BF0">
        <w:rPr>
          <w:szCs w:val="24"/>
        </w:rPr>
        <w:t xml:space="preserve"> года составили 82420 руб.,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2011 года. С 14 января 2016 года она уходит в отпуск по беременности и родам на 140 календарных дней. По данным бухгалтерии в </w:t>
      </w:r>
      <w:r w:rsidRPr="009F3BF0">
        <w:rPr>
          <w:rFonts w:eastAsia="Times New Roman"/>
          <w:iCs/>
          <w:color w:val="000000"/>
          <w:szCs w:val="24"/>
          <w:lang w:eastAsia="ru-RU"/>
        </w:rPr>
        <w:lastRenderedPageBreak/>
        <w:t>2014-2015 году сотрудница болела 45 календарных дней. Заработок Смирновой  за 2014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2015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bookmarkStart w:id="3" w:name="_GoBack"/>
      <w:bookmarkEnd w:id="3"/>
    </w:p>
    <w:p w:rsidR="00727177" w:rsidRDefault="00727177" w:rsidP="00727177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Контрольные права и функции Фонда социального страхования в области правильности начи</w:t>
      </w:r>
      <w:r w:rsidRPr="00327EFC">
        <w:rPr>
          <w:szCs w:val="24"/>
        </w:rPr>
        <w:t>с</w:t>
      </w:r>
      <w:r w:rsidRPr="00327EFC">
        <w:rPr>
          <w:szCs w:val="24"/>
        </w:rPr>
        <w:t>ления и своевременности уплаты страховых взносов в фонд.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2. Что называют денежным фондом, имеющим строго целевое назначение,  </w:t>
      </w:r>
      <w:proofErr w:type="gramStart"/>
      <w:r w:rsidRPr="00327EFC">
        <w:rPr>
          <w:szCs w:val="24"/>
        </w:rPr>
        <w:t>предназначенный</w:t>
      </w:r>
      <w:proofErr w:type="gramEnd"/>
      <w:r w:rsidRPr="00327EFC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</w:t>
      </w:r>
      <w:proofErr w:type="gramStart"/>
      <w:r w:rsidRPr="00327EFC">
        <w:rPr>
          <w:szCs w:val="24"/>
        </w:rPr>
        <w:t>нуждающимся</w:t>
      </w:r>
      <w:proofErr w:type="gramEnd"/>
      <w:r w:rsidRPr="00327EFC">
        <w:rPr>
          <w:szCs w:val="24"/>
        </w:rPr>
        <w:t>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proofErr w:type="gramStart"/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  <w:proofErr w:type="gramEnd"/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lastRenderedPageBreak/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882FBC">
              <w:rPr>
                <w:szCs w:val="24"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</w:t>
            </w:r>
            <w:r w:rsidR="00FC7DA1">
              <w:rPr>
                <w:szCs w:val="24"/>
              </w:rPr>
              <w:lastRenderedPageBreak/>
              <w:t>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поставленный вопрос; однако были допущены </w:t>
            </w:r>
            <w:r w:rsidRPr="00882FBC">
              <w:rPr>
                <w:szCs w:val="24"/>
              </w:rPr>
              <w:lastRenderedPageBreak/>
              <w:t>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 xml:space="preserve">ции, причем на более высоком уровне. Наличие сформированной компетенции на повышенном </w:t>
      </w:r>
      <w:r w:rsidRPr="00882FBC">
        <w:rPr>
          <w:sz w:val="24"/>
          <w:szCs w:val="24"/>
        </w:rPr>
        <w:lastRenderedPageBreak/>
        <w:t>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882FBC" w:rsidRPr="00882FBC" w:rsidTr="00727177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</w:t>
            </w:r>
            <w:r w:rsidRPr="00882FBC">
              <w:rPr>
                <w:rStyle w:val="211pt"/>
                <w:sz w:val="24"/>
                <w:szCs w:val="24"/>
              </w:rPr>
              <w:t>ч</w:t>
            </w:r>
            <w:r w:rsidRPr="00882FBC">
              <w:rPr>
                <w:rStyle w:val="211pt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</w:t>
            </w:r>
            <w:r w:rsidRPr="00882FBC">
              <w:rPr>
                <w:rStyle w:val="211pt"/>
                <w:sz w:val="24"/>
                <w:szCs w:val="24"/>
              </w:rPr>
              <w:t>з</w:t>
            </w:r>
            <w:r w:rsidRPr="00882FBC">
              <w:rPr>
                <w:rStyle w:val="211pt"/>
                <w:sz w:val="24"/>
                <w:szCs w:val="24"/>
              </w:rPr>
              <w:t>воляющие оценивать и диагност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 знание фактического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</w:t>
            </w:r>
            <w:r w:rsidRPr="00882FBC">
              <w:rPr>
                <w:rStyle w:val="211pt"/>
                <w:sz w:val="24"/>
                <w:szCs w:val="24"/>
              </w:rPr>
              <w:t>з</w:t>
            </w:r>
            <w:r w:rsidRPr="00882FBC">
              <w:rPr>
                <w:rStyle w:val="211pt"/>
                <w:sz w:val="24"/>
                <w:szCs w:val="24"/>
              </w:rPr>
              <w:t>воляющие оценивать и диагност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конкретных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 различных областей, аргуме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как специальная беседа пр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 xml:space="preserve">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мы, связанные с изучаемой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плиной, и рассчитанное на выя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нение объема знаний обучающ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ний, умений и владений обуча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«Универсальная система тестир</w:t>
            </w:r>
            <w:r w:rsidRPr="00882FBC">
              <w:rPr>
                <w:szCs w:val="24"/>
              </w:rPr>
              <w:t>о</w:t>
            </w:r>
            <w:r w:rsidRPr="00882FBC">
              <w:rPr>
                <w:szCs w:val="24"/>
              </w:rPr>
              <w:t>вания  БГТИ». На тестирование отводится 60  минут. Каждый в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риант тестовых заданий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727177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815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</w:t>
            </w:r>
            <w:r w:rsidRPr="00882FBC">
              <w:rPr>
                <w:szCs w:val="24"/>
                <w:lang w:eastAsia="ru-RU"/>
              </w:rPr>
              <w:t>н</w:t>
            </w:r>
            <w:r w:rsidRPr="00882FBC">
              <w:rPr>
                <w:szCs w:val="24"/>
                <w:lang w:eastAsia="ru-RU"/>
              </w:rPr>
              <w:t xml:space="preserve">та освоившим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нии в зачетную книжку студента – «зачтено».  Студент, не выпо</w:t>
            </w:r>
            <w:r w:rsidRPr="00882FBC">
              <w:rPr>
                <w:szCs w:val="24"/>
              </w:rPr>
              <w:t>л</w:t>
            </w:r>
            <w:r w:rsidRPr="00882FBC">
              <w:rPr>
                <w:szCs w:val="24"/>
              </w:rPr>
              <w:t>нивший минимальный объем учебной работы по дисциплине,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0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5EDF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60FF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4BCF-FD77-4B66-8097-4AC8734B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60987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16</cp:revision>
  <cp:lastPrinted>2019-10-24T04:53:00Z</cp:lastPrinted>
  <dcterms:created xsi:type="dcterms:W3CDTF">2019-01-22T11:16:00Z</dcterms:created>
  <dcterms:modified xsi:type="dcterms:W3CDTF">2019-11-26T06:10:00Z</dcterms:modified>
</cp:coreProperties>
</file>