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7879D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6655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C66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6655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78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lastRenderedPageBreak/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485F08">
        <w:pPr>
          <w:pStyle w:val="a7"/>
          <w:jc w:val="center"/>
        </w:pPr>
        <w:fldSimple w:instr="PAGE   \* MERGEFORMAT">
          <w:r w:rsidR="007879D0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1406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5F08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79D0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6074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8315B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4209D"/>
    <w:rsid w:val="00C53504"/>
    <w:rsid w:val="00C57AA9"/>
    <w:rsid w:val="00C66554"/>
    <w:rsid w:val="00C70920"/>
    <w:rsid w:val="00C83122"/>
    <w:rsid w:val="00C92FDE"/>
    <w:rsid w:val="00CA2AEC"/>
    <w:rsid w:val="00CA3E82"/>
    <w:rsid w:val="00CE2CD7"/>
    <w:rsid w:val="00D21FDD"/>
    <w:rsid w:val="00D26A24"/>
    <w:rsid w:val="00D31D60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A2A-34AC-48FE-98A7-24F4B4E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27</Pages>
  <Words>8463</Words>
  <Characters>48244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2019-11-16T14:26:00Z</dcterms:modified>
</cp:coreProperties>
</file>