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7B1274" w:rsidP="008D6721">
      <w:pPr>
        <w:pStyle w:val="ReportHead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F70D89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89">
        <w:rPr>
          <w:rFonts w:ascii="Times New Roman" w:hAnsi="Times New Roman" w:cs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23E6A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Пререквизиты практики:</w:t>
      </w:r>
      <w:r w:rsidRPr="00DB5CC2">
        <w:rPr>
          <w:rFonts w:ascii="Times New Roman" w:hAnsi="Times New Roman" w:cs="Times New Roman"/>
          <w:sz w:val="24"/>
          <w:szCs w:val="24"/>
        </w:rPr>
        <w:t xml:space="preserve"> </w:t>
      </w:r>
      <w:r w:rsidR="00DB5CC2" w:rsidRPr="00DB5CC2">
        <w:rPr>
          <w:rFonts w:ascii="Times New Roman" w:hAnsi="Times New Roman" w:cs="Times New Roman"/>
          <w:sz w:val="24"/>
          <w:szCs w:val="24"/>
        </w:rPr>
        <w:t>Б.1.Б.4 Безопасность жизнедеятельности, Б.1.Б.13 Психология профессионального образования, Б.1.Б.19 Практическое (производственное обучение), Б.1.В.ОД.5 Охрана труда на предприятии, Б.1.В.ОД.6 Практикум по решению профессиональных задач, Б.1.В.ОД.23 Релейная защита и автоматика, Б.1.В.ОД.24 Электрооборудование электрических сетей, Б.2.В.П.1 Технологическая практика, производственно-профессиональная практика, Б.2.В.П.2 Педагогическая практика</w:t>
      </w:r>
    </w:p>
    <w:p w:rsidR="002D243D" w:rsidRPr="008D6721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CF514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03E35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>
        <w:rPr>
          <w:rFonts w:ascii="Times New Roman" w:hAnsi="Times New Roman"/>
          <w:sz w:val="24"/>
          <w:szCs w:val="24"/>
        </w:rPr>
        <w:br w:type="page"/>
      </w:r>
      <w:r w:rsidR="002D243D" w:rsidRPr="008D6721">
        <w:rPr>
          <w:rFonts w:ascii="Times New Roman" w:hAnsi="Times New Roman"/>
          <w:sz w:val="24"/>
          <w:szCs w:val="24"/>
        </w:rPr>
        <w:lastRenderedPageBreak/>
        <w:t>1 Цель и задачи практики</w:t>
      </w:r>
      <w:bookmarkEnd w:id="1"/>
    </w:p>
    <w:p w:rsidR="002D243D" w:rsidRPr="008D6721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2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DB5CC2" w:rsidRPr="00DB5CC2" w:rsidRDefault="00DB5CC2" w:rsidP="00DB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DB5CC2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F70D89" w:rsidRPr="00F70D89" w:rsidRDefault="00F70D89" w:rsidP="00F70D8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i/>
          <w:sz w:val="24"/>
          <w:lang w:eastAsia="en-US"/>
        </w:rPr>
        <w:t>.</w:t>
      </w:r>
    </w:p>
    <w:p w:rsidR="00C23A7C" w:rsidRDefault="00C23A7C" w:rsidP="00CF51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8682D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2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7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9F13E9">
      <w:pPr>
        <w:shd w:val="clear" w:color="auto" w:fill="FFFFFF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9F13E9">
      <w:pPr>
        <w:pStyle w:val="ReportMain"/>
        <w:keepNext/>
        <w:suppressAutoHyphens/>
        <w:ind w:firstLine="709"/>
        <w:jc w:val="both"/>
        <w:outlineLvl w:val="1"/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83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DB5CC2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специальных  заданиях, определяемых руководителем выпускной квалификационной работы.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lastRenderedPageBreak/>
        <w:t>4.3 Защита отчетов по практике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Pr="006F26FA" w:rsidRDefault="004639E3" w:rsidP="004639E3">
      <w:pPr>
        <w:pStyle w:val="ReportMain"/>
        <w:suppressAutoHyphens/>
        <w:ind w:firstLine="709"/>
        <w:jc w:val="both"/>
      </w:pPr>
    </w:p>
    <w:p w:rsidR="004639E3" w:rsidRPr="006F26FA" w:rsidRDefault="004639E3" w:rsidP="006F26FA">
      <w:pPr>
        <w:pStyle w:val="ReportMain"/>
        <w:suppressAutoHyphens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2820ED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A565E4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  <w:bookmarkStart w:id="9" w:name="_GoBack"/>
      <w:bookmarkEnd w:id="9"/>
    </w:p>
    <w:p w:rsidR="002D243D" w:rsidRPr="008D6721" w:rsidRDefault="002D243D" w:rsidP="002820E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A565E4" w:rsidRPr="00A565E4" w:rsidRDefault="00A565E4" w:rsidP="00A565E4">
            <w:pPr>
              <w:pStyle w:val="ReportHead0"/>
              <w:rPr>
                <w:szCs w:val="28"/>
              </w:rPr>
            </w:pPr>
            <w:r w:rsidRPr="00A565E4">
              <w:rPr>
                <w:szCs w:val="28"/>
              </w:rPr>
              <w:t>МИНОБРНАУКИ РОССИИ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A565E4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565E4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6F26FA">
              <w:rPr>
                <w:rFonts w:ascii="Times New Roman" w:eastAsia="Calibri" w:hAnsi="Times New Roman" w:cs="Times New Roman"/>
                <w:sz w:val="28"/>
                <w:lang w:eastAsia="en-US"/>
              </w:rPr>
              <w:t>7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7E60FC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C820AF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F70D89">
      <w:footerReference w:type="default" r:id="rId15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76" w:rsidRDefault="001E1376" w:rsidP="0078587A">
      <w:pPr>
        <w:spacing w:after="0" w:line="240" w:lineRule="auto"/>
      </w:pPr>
      <w:r>
        <w:separator/>
      </w:r>
    </w:p>
  </w:endnote>
  <w:endnote w:type="continuationSeparator" w:id="0">
    <w:p w:rsidR="001E1376" w:rsidRDefault="001E1376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A565E4">
      <w:rPr>
        <w:rFonts w:ascii="Times New Roman" w:hAnsi="Times New Roman" w:cs="Times New Roman"/>
        <w:noProof/>
        <w:sz w:val="20"/>
        <w:szCs w:val="20"/>
      </w:rPr>
      <w:t>11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76" w:rsidRDefault="001E1376" w:rsidP="0078587A">
      <w:pPr>
        <w:spacing w:after="0" w:line="240" w:lineRule="auto"/>
      </w:pPr>
      <w:r>
        <w:separator/>
      </w:r>
    </w:p>
  </w:footnote>
  <w:footnote w:type="continuationSeparator" w:id="0">
    <w:p w:rsidR="001E1376" w:rsidRDefault="001E1376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E1376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66276"/>
    <w:rsid w:val="00773999"/>
    <w:rsid w:val="00777231"/>
    <w:rsid w:val="0078587A"/>
    <w:rsid w:val="00792171"/>
    <w:rsid w:val="007B1274"/>
    <w:rsid w:val="007B3D7A"/>
    <w:rsid w:val="007E60FC"/>
    <w:rsid w:val="007E7A03"/>
    <w:rsid w:val="00823E6A"/>
    <w:rsid w:val="008931A3"/>
    <w:rsid w:val="008B17B8"/>
    <w:rsid w:val="008D6721"/>
    <w:rsid w:val="008E47AB"/>
    <w:rsid w:val="00937FCE"/>
    <w:rsid w:val="00951686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565E4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F0EC-704D-48EF-A28A-130CA92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2019-12-03T08:44:00Z</cp:lastPrinted>
  <dcterms:created xsi:type="dcterms:W3CDTF">2019-12-08T18:15:00Z</dcterms:created>
  <dcterms:modified xsi:type="dcterms:W3CDTF">2019-12-12T10:51:00Z</dcterms:modified>
</cp:coreProperties>
</file>