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A01ED0">
        <w:rPr>
          <w:szCs w:val="28"/>
        </w:rPr>
        <w:t>8</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Первый заместитель директора по УР</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sidR="008B4C1A" w:rsidRPr="0094171A">
        <w:rPr>
          <w:rFonts w:ascii="Times New Roman" w:eastAsia="Calibri" w:hAnsi="Times New Roman" w:cs="Times New Roman"/>
          <w:sz w:val="28"/>
          <w:szCs w:val="28"/>
        </w:rPr>
        <w:t>Е.В. Фролова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bookmarkStart w:id="0" w:name="_GoBack"/>
      <w:bookmarkEnd w:id="0"/>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242"/>
        <w:gridCol w:w="2294"/>
        <w:gridCol w:w="2554"/>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w:t>
            </w:r>
            <w:r w:rsidRPr="0094171A">
              <w:rPr>
                <w:rFonts w:ascii="Times New Roman" w:eastAsia="Times New Roman" w:hAnsi="Times New Roman" w:cs="Times New Roman"/>
                <w:bCs/>
                <w:sz w:val="28"/>
                <w:szCs w:val="28"/>
                <w:lang w:eastAsia="ru-RU"/>
              </w:rPr>
              <w:lastRenderedPageBreak/>
              <w:t xml:space="preserve">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94171A" w:rsidRPr="0094171A" w:rsidRDefault="0094171A" w:rsidP="0094171A">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p w:rsidR="00D77F13" w:rsidRPr="00D77F13" w:rsidRDefault="00D77F13" w:rsidP="0094171A">
            <w:pPr>
              <w:widowControl w:val="0"/>
              <w:tabs>
                <w:tab w:val="left" w:pos="233"/>
              </w:tabs>
              <w:spacing w:after="0" w:line="240" w:lineRule="auto"/>
              <w:ind w:left="90"/>
              <w:contextualSpacing/>
              <w:jc w:val="both"/>
              <w:rPr>
                <w:rFonts w:ascii="Times New Roman" w:eastAsia="Times New Roman" w:hAnsi="Times New Roman" w:cs="Times New Roman"/>
                <w:b/>
                <w:sz w:val="24"/>
                <w:szCs w:val="24"/>
                <w:u w:val="single"/>
                <w:lang w:eastAsia="ru-RU"/>
              </w:rPr>
            </w:pP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w:t>
            </w:r>
            <w:r w:rsidR="007E3063">
              <w:rPr>
                <w:rFonts w:ascii="Times New Roman" w:eastAsia="Times New Roman" w:hAnsi="Times New Roman" w:cs="Times New Roman"/>
                <w:sz w:val="24"/>
                <w:szCs w:val="24"/>
                <w:lang w:eastAsia="ru-RU"/>
              </w:rPr>
              <w:lastRenderedPageBreak/>
              <w:t>соответствия,  тексты с 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lastRenderedPageBreak/>
              <w:t>навыками самостоятельной работы по подготовке к публичным выступлениям на исторические темы.</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lastRenderedPageBreak/>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3E483B5" wp14:editId="709D577F">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F328B6F" wp14:editId="311C1B89">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E591410" wp14:editId="5A63739E">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34574B04" wp14:editId="13E5B165">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D33A78" wp14:editId="5B76F212">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D318CB4" wp14:editId="70EFD25E">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B665F74" wp14:editId="6168AFFE">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8348EB9" wp14:editId="635414D0">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2BAF65F3" wp14:editId="02E6F4D2">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14AD216" wp14:editId="5E6A7FDE">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6B84B61" wp14:editId="57309903">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E6ADA95" wp14:editId="645085CE">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02A1D76" wp14:editId="6AB8E160">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1AB11D7" wp14:editId="2AD857E6">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8B0D085" wp14:editId="423C6079">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214DD9DA" wp14:editId="42AB3625">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3D48FAE4" wp14:editId="33CDC150">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777DF4A6" wp14:editId="361F754C">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6FE3BB26" wp14:editId="0E8F9925">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5F2C921" wp14:editId="3E1AC2AB">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23AADF22" wp14:editId="6D3ED9FD">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F3DB96C" wp14:editId="1DFF171D">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E2673D2" wp14:editId="043639A7">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F4E6089" wp14:editId="6CDA2954">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8707940" wp14:editId="5DE837EF">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0B6A1B1" wp14:editId="6965E348">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4CD3526" wp14:editId="4F7CAD2C">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D0C5DED" wp14:editId="5E7C5158">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2498DBC" wp14:editId="3ACF4D4C">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DD53AF2" wp14:editId="384323B1">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BD059C" wp14:editId="288CF004">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1E081BA" wp14:editId="5CDD96DC">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BF14B0A" wp14:editId="32D8A5A9">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C5814DE" wp14:editId="1A2565A3">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7B8E1A7" wp14:editId="7AB5896C">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165F88F" wp14:editId="5FFD5765">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50EA88B" wp14:editId="6E6490B8">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310D3D6" wp14:editId="579B8F49">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5D4B57F" wp14:editId="4C4371AC">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26CB796" wp14:editId="2FCBE91C">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3CBA9510" wp14:editId="5CF56200">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4CBD7603" wp14:editId="1B652D08">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37D3A84" wp14:editId="463A8CAE">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4F33C7ED" wp14:editId="1089AB56">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0C7ECCB9" wp14:editId="77809DCF">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C330EC7" wp14:editId="6DCAB67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4C5F834" wp14:editId="09CF8CC7">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7A58765F" wp14:editId="2EC210AD">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6606818E" wp14:editId="22A51415">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20027E5" wp14:editId="4B0753DB">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7328E653" wp14:editId="03190254">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717B13E0" wp14:editId="19B65D89">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042EFD35" wp14:editId="19B482B8">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D07839E" wp14:editId="645115C5">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5BD0A73" wp14:editId="10469620">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7EFA13E0" wp14:editId="5AD978CD">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63FC3733" wp14:editId="5DDE7A7D">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3B0DFAE2" wp14:editId="225E720A">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C49BD7B" wp14:editId="53F6D4F9">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F5544A0" wp14:editId="453684BE">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78F45F6" wp14:editId="2E7BDF83">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13A62B4" wp14:editId="17E9837C">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465FBB1" wp14:editId="0775B8BB">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A3C8220" wp14:editId="0E58D534">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0F7DBA0" wp14:editId="3FB13149">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BBCA526" wp14:editId="5F1869C3">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69E3834" wp14:editId="3EDEFEFA">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BE89FBB" wp14:editId="7644736A">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B0CA956" wp14:editId="6FC91D95">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180D910" wp14:editId="1713FF13">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52D4195" wp14:editId="6439EE7B">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1D7EE08B" wp14:editId="2778F1A4">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65DADC72" wp14:editId="1847E047">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873B59F" wp14:editId="2A0B6696">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26B4975" wp14:editId="38EDD37D">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16D72EEA" wp14:editId="582F8BF1">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33187A96" wp14:editId="4D23A4C2">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B747F44" wp14:editId="6F4336E8">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09E4F02" wp14:editId="5449A26B">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27E8C089" wp14:editId="272F08A9">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526BFA69" wp14:editId="13725EC5">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25AA7021" wp14:editId="169C5D2F">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07AF9A96" wp14:editId="76CA1D0B">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2C923CF" wp14:editId="396F9CEF">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09E44369" wp14:editId="14FACAAB">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743DCC72" wp14:editId="01D938D0">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05653FBC" wp14:editId="184ABD4F">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064D380A" wp14:editId="5B6B92A3">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48E565D9" wp14:editId="238103E9">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277FBF76" wp14:editId="6AE0E616">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0E7BA20" wp14:editId="64DC3943">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6F8D9ECC" wp14:editId="2711E1AF">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740BCDDD" wp14:editId="03E58895">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17B561D2" wp14:editId="247676C7">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1A42A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1A42A7"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1A42A7"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A7" w:rsidRDefault="001A42A7" w:rsidP="00CB58F6">
      <w:pPr>
        <w:spacing w:after="0" w:line="240" w:lineRule="auto"/>
      </w:pPr>
      <w:r>
        <w:separator/>
      </w:r>
    </w:p>
  </w:endnote>
  <w:endnote w:type="continuationSeparator" w:id="0">
    <w:p w:rsidR="001A42A7" w:rsidRDefault="001A42A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A01ED0">
          <w:rPr>
            <w:noProof/>
          </w:rPr>
          <w:t>4</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A7" w:rsidRDefault="001A42A7" w:rsidP="00CB58F6">
      <w:pPr>
        <w:spacing w:after="0" w:line="240" w:lineRule="auto"/>
      </w:pPr>
      <w:r>
        <w:separator/>
      </w:r>
    </w:p>
  </w:footnote>
  <w:footnote w:type="continuationSeparator" w:id="0">
    <w:p w:rsidR="001A42A7" w:rsidRDefault="001A42A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CD2F-4057-4380-9C3A-26E7786C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43772</Words>
  <Characters>249503</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177</cp:revision>
  <cp:lastPrinted>2019-02-26T11:22:00Z</cp:lastPrinted>
  <dcterms:created xsi:type="dcterms:W3CDTF">2019-02-28T09:31:00Z</dcterms:created>
  <dcterms:modified xsi:type="dcterms:W3CDTF">2019-10-31T10:38:00Z</dcterms:modified>
</cp:coreProperties>
</file>