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E86C0F">
        <w:rPr>
          <w:sz w:val="24"/>
        </w:rPr>
        <w:t>гражданского права и процесса</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724570" w:rsidP="000F4359">
      <w:pPr>
        <w:pStyle w:val="ReportHead"/>
        <w:suppressAutoHyphens/>
        <w:rPr>
          <w:i/>
          <w:sz w:val="24"/>
          <w:u w:val="single"/>
        </w:rPr>
      </w:pPr>
      <w:r>
        <w:rPr>
          <w:i/>
          <w:sz w:val="24"/>
          <w:u w:val="single"/>
        </w:rPr>
        <w:t>Зао</w:t>
      </w:r>
      <w:r w:rsidR="000F4359">
        <w:rPr>
          <w:i/>
          <w:sz w:val="24"/>
          <w:u w:val="single"/>
        </w:rPr>
        <w:t>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sectPr w:rsidR="000F4359" w:rsidSect="00E17D50">
          <w:pgSz w:w="11906" w:h="16838"/>
          <w:pgMar w:top="510" w:right="567" w:bottom="510" w:left="850" w:header="0" w:footer="510" w:gutter="0"/>
          <w:cols w:space="708"/>
          <w:docGrid w:linePitch="360"/>
        </w:sectPr>
      </w:pPr>
      <w:r>
        <w:rPr>
          <w:sz w:val="24"/>
        </w:rPr>
        <w:t>Год набора 201</w:t>
      </w:r>
      <w:r w:rsidR="00CD24BF">
        <w:rPr>
          <w:sz w:val="24"/>
        </w:rPr>
        <w:t>7</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D870CD">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Бузулукский гуманитарно-технологический институт (филиал) ОГУ. – Бузулук: БГТИ (филиал) ОГУ, 201</w:t>
      </w:r>
      <w:r w:rsidR="00CD24BF">
        <w:rPr>
          <w:rFonts w:ascii="Times New Roman" w:eastAsia="Times New Roman" w:hAnsi="Times New Roman" w:cs="Times New Roman"/>
          <w:color w:val="000000"/>
          <w:sz w:val="24"/>
          <w:szCs w:val="24"/>
        </w:rPr>
        <w:t>7</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«___»______________201</w:t>
      </w:r>
      <w:r w:rsidR="00CD24BF">
        <w:rPr>
          <w:rFonts w:ascii="Times New Roman" w:eastAsia="Times New Roman" w:hAnsi="Times New Roman" w:cs="Times New Roman"/>
          <w:color w:val="000000"/>
          <w:sz w:val="24"/>
          <w:szCs w:val="24"/>
        </w:rPr>
        <w:t>7</w:t>
      </w:r>
      <w:r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00724570">
        <w:rPr>
          <w:rFonts w:ascii="Times New Roman" w:eastAsia="Calibri" w:hAnsi="Times New Roman" w:cs="Times New Roman"/>
          <w:sz w:val="24"/>
          <w:szCs w:val="24"/>
          <w:lang w:eastAsia="en-US"/>
        </w:rPr>
        <w:t>за</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724570">
      <w:pPr>
        <w:tabs>
          <w:tab w:val="left" w:pos="4020"/>
        </w:tabs>
        <w:spacing w:after="0" w:line="240" w:lineRule="auto"/>
        <w:ind w:left="-567" w:firstLine="709"/>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2700DD" w:rsidRDefault="002700DD" w:rsidP="002700DD">
      <w:pPr>
        <w:tabs>
          <w:tab w:val="left" w:pos="4020"/>
        </w:tabs>
        <w:spacing w:after="0" w:line="240" w:lineRule="auto"/>
        <w:ind w:left="-567" w:firstLine="709"/>
        <w:jc w:val="center"/>
        <w:rPr>
          <w:rFonts w:ascii="Times New Roman" w:hAnsi="Times New Roman" w:cs="Times New Roman"/>
          <w:b/>
          <w:sz w:val="32"/>
          <w:szCs w:val="32"/>
        </w:rPr>
      </w:pPr>
      <w:r w:rsidRPr="002700DD">
        <w:rPr>
          <w:rFonts w:ascii="Times New Roman" w:hAnsi="Times New Roman" w:cs="Times New Roman"/>
          <w:b/>
          <w:sz w:val="32"/>
          <w:szCs w:val="32"/>
        </w:rPr>
        <w:lastRenderedPageBreak/>
        <w:t>Содержание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DE1006"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905DF7"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905DF7">
        <w:rPr>
          <w:rFonts w:ascii="Times New Roman" w:eastAsiaTheme="minorHAnsi" w:hAnsi="Times New Roman"/>
          <w:sz w:val="28"/>
          <w:szCs w:val="28"/>
        </w:rPr>
        <w:t>Пояснительная записка…………………………………………………….</w:t>
      </w:r>
      <w:r w:rsidR="000F4359">
        <w:rPr>
          <w:rFonts w:ascii="Times New Roman" w:eastAsiaTheme="minorHAnsi" w:hAnsi="Times New Roman"/>
          <w:sz w:val="28"/>
          <w:szCs w:val="28"/>
        </w:rPr>
        <w:t>4</w:t>
      </w:r>
    </w:p>
    <w:p w:rsidR="00DE1006" w:rsidRPr="00D227DC"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D227DC">
        <w:rPr>
          <w:rFonts w:ascii="Times New Roman" w:eastAsiaTheme="minorHAnsi" w:hAnsi="Times New Roman"/>
          <w:sz w:val="28"/>
          <w:szCs w:val="28"/>
        </w:rPr>
        <w:t>Виды аудиторной и внеаудиторной самостоятельной работы студентов по дисциплине</w:t>
      </w:r>
      <w:r>
        <w:rPr>
          <w:rFonts w:ascii="Times New Roman" w:eastAsiaTheme="minorHAnsi" w:hAnsi="Times New Roman"/>
          <w:sz w:val="28"/>
          <w:szCs w:val="28"/>
        </w:rPr>
        <w:t>…………………………………………………………..…………</w:t>
      </w:r>
      <w:r w:rsidR="000F4359">
        <w:rPr>
          <w:rFonts w:ascii="Times New Roman" w:eastAsiaTheme="minorHAnsi" w:hAnsi="Times New Roman"/>
          <w:sz w:val="28"/>
          <w:szCs w:val="28"/>
        </w:rPr>
        <w:t>4</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D227DC">
        <w:rPr>
          <w:rFonts w:ascii="Times New Roman" w:hAnsi="Times New Roman" w:cs="Times New Roman"/>
          <w:sz w:val="28"/>
          <w:szCs w:val="28"/>
        </w:rPr>
        <w:t xml:space="preserve">3. Методические рекомендации студентам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autoSpaceDE w:val="0"/>
        <w:autoSpaceDN w:val="0"/>
        <w:adjustRightInd w:val="0"/>
        <w:spacing w:after="0" w:line="240" w:lineRule="auto"/>
        <w:ind w:left="-567"/>
        <w:jc w:val="both"/>
        <w:rPr>
          <w:rFonts w:ascii="Times New Roman" w:hAnsi="Times New Roman" w:cs="Times New Roman"/>
          <w:sz w:val="28"/>
          <w:szCs w:val="28"/>
        </w:rPr>
      </w:pPr>
      <w:r w:rsidRPr="00D227DC">
        <w:rPr>
          <w:rFonts w:ascii="Times New Roman" w:hAnsi="Times New Roman" w:cs="Times New Roman"/>
          <w:sz w:val="28"/>
          <w:szCs w:val="28"/>
        </w:rPr>
        <w:t xml:space="preserve">3.1 Методические рекомендации по изучению теоретических основ дисциплины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 xml:space="preserve">2 </w:t>
      </w:r>
      <w:r w:rsidRPr="00D227DC">
        <w:rPr>
          <w:rFonts w:ascii="Times New Roman" w:hAnsi="Times New Roman" w:cs="Times New Roman"/>
          <w:sz w:val="28"/>
          <w:szCs w:val="28"/>
        </w:rPr>
        <w:t xml:space="preserve">Методические рекомендации по </w:t>
      </w:r>
      <w:r w:rsidR="00724570">
        <w:rPr>
          <w:rFonts w:ascii="Times New Roman" w:hAnsi="Times New Roman" w:cs="Times New Roman"/>
          <w:sz w:val="28"/>
          <w:szCs w:val="28"/>
        </w:rPr>
        <w:t>выполнению контрольной работы……..</w:t>
      </w:r>
      <w:r w:rsidR="000F4359">
        <w:rPr>
          <w:rFonts w:ascii="Times New Roman" w:hAnsi="Times New Roman" w:cs="Times New Roman"/>
          <w:sz w:val="28"/>
          <w:szCs w:val="28"/>
        </w:rPr>
        <w:t>8</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3</w:t>
      </w:r>
      <w:r>
        <w:rPr>
          <w:rFonts w:ascii="Times New Roman" w:hAnsi="Times New Roman" w:cs="Times New Roman"/>
          <w:sz w:val="28"/>
          <w:szCs w:val="28"/>
        </w:rPr>
        <w:t xml:space="preserve"> Методические рекомендации по работе обучающихся во время проведения лекций……………………………………………………………</w:t>
      </w:r>
      <w:r w:rsidR="00724570">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9</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4</w:t>
      </w:r>
      <w:r w:rsidRPr="00D227DC">
        <w:rPr>
          <w:rFonts w:ascii="Times New Roman" w:hAnsi="Times New Roman" w:cs="Times New Roman"/>
          <w:sz w:val="28"/>
          <w:szCs w:val="28"/>
        </w:rPr>
        <w:t xml:space="preserve"> Методические рекомендации по подготовке к практическим занятиям</w:t>
      </w:r>
      <w:r w:rsidR="00724570">
        <w:rPr>
          <w:rFonts w:ascii="Times New Roman" w:hAnsi="Times New Roman" w:cs="Times New Roman"/>
          <w:sz w:val="28"/>
          <w:szCs w:val="28"/>
        </w:rPr>
        <w:t>...10</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5</w:t>
      </w:r>
      <w:r>
        <w:rPr>
          <w:rFonts w:ascii="Times New Roman" w:hAnsi="Times New Roman" w:cs="Times New Roman"/>
          <w:sz w:val="28"/>
          <w:szCs w:val="28"/>
        </w:rPr>
        <w:t xml:space="preserve"> Рекомендации по работе с нормативными правовыми актами, материалами судебной практики и литературой………………………………</w:t>
      </w:r>
      <w:r w:rsidR="00AF6366">
        <w:rPr>
          <w:rFonts w:ascii="Times New Roman" w:hAnsi="Times New Roman" w:cs="Times New Roman"/>
          <w:sz w:val="28"/>
          <w:szCs w:val="28"/>
        </w:rPr>
        <w:t>1</w:t>
      </w:r>
      <w:r w:rsidR="00724570">
        <w:rPr>
          <w:rFonts w:ascii="Times New Roman" w:hAnsi="Times New Roman" w:cs="Times New Roman"/>
          <w:sz w:val="28"/>
          <w:szCs w:val="28"/>
        </w:rPr>
        <w:t>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6</w:t>
      </w:r>
      <w:r>
        <w:rPr>
          <w:rFonts w:ascii="Times New Roman" w:hAnsi="Times New Roman" w:cs="Times New Roman"/>
          <w:sz w:val="28"/>
          <w:szCs w:val="28"/>
        </w:rPr>
        <w:t xml:space="preserve"> Рекомендации по решению практических задач…………………………..</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написанию конспекта лекций………</w:t>
      </w:r>
      <w:r w:rsidR="0002648D">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17</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 xml:space="preserve">8 </w:t>
      </w:r>
      <w:r>
        <w:rPr>
          <w:rFonts w:ascii="Times New Roman" w:hAnsi="Times New Roman" w:cs="Times New Roman"/>
          <w:sz w:val="28"/>
          <w:szCs w:val="28"/>
        </w:rPr>
        <w:t>Методические рекомендации по организации и проведению обучения в интерактивных формах………………………………………………………….</w:t>
      </w:r>
      <w:r w:rsidR="000F4359">
        <w:rPr>
          <w:rFonts w:ascii="Times New Roman" w:hAnsi="Times New Roman" w:cs="Times New Roman"/>
          <w:sz w:val="28"/>
          <w:szCs w:val="28"/>
        </w:rPr>
        <w:t>18</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9</w:t>
      </w:r>
      <w:r w:rsidRPr="000F3121">
        <w:rPr>
          <w:rFonts w:ascii="Times New Roman" w:hAnsi="Times New Roman" w:cs="Times New Roman"/>
          <w:sz w:val="28"/>
          <w:szCs w:val="28"/>
        </w:rPr>
        <w:t xml:space="preserve"> Рекомендации по подготовке к итоговой аттестации (экзамен)</w:t>
      </w:r>
      <w:r w:rsidR="0002648D" w:rsidRPr="000F3121">
        <w:rPr>
          <w:rFonts w:ascii="Times New Roman" w:hAnsi="Times New Roman" w:cs="Times New Roman"/>
          <w:sz w:val="28"/>
          <w:szCs w:val="28"/>
        </w:rPr>
        <w:t>………</w:t>
      </w:r>
      <w:r w:rsidRPr="000F3121">
        <w:rPr>
          <w:rFonts w:ascii="Times New Roman" w:hAnsi="Times New Roman" w:cs="Times New Roman"/>
          <w:sz w:val="28"/>
          <w:szCs w:val="28"/>
        </w:rPr>
        <w:t>….</w:t>
      </w:r>
      <w:r w:rsidR="000F4359">
        <w:rPr>
          <w:rFonts w:ascii="Times New Roman" w:hAnsi="Times New Roman" w:cs="Times New Roman"/>
          <w:sz w:val="28"/>
          <w:szCs w:val="28"/>
        </w:rPr>
        <w:t>22</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10</w:t>
      </w:r>
      <w:r w:rsidRPr="000F3121">
        <w:rPr>
          <w:rFonts w:ascii="Times New Roman" w:hAnsi="Times New Roman" w:cs="Times New Roman"/>
          <w:sz w:val="28"/>
          <w:szCs w:val="28"/>
        </w:rPr>
        <w:t xml:space="preserve"> Контроль и управление самостоя</w:t>
      </w:r>
      <w:r w:rsidR="000F3121" w:rsidRPr="000F3121">
        <w:rPr>
          <w:rFonts w:ascii="Times New Roman" w:hAnsi="Times New Roman" w:cs="Times New Roman"/>
          <w:sz w:val="28"/>
          <w:szCs w:val="28"/>
        </w:rPr>
        <w:t>т</w:t>
      </w:r>
      <w:r w:rsidR="000F4359">
        <w:rPr>
          <w:rFonts w:ascii="Times New Roman" w:hAnsi="Times New Roman" w:cs="Times New Roman"/>
          <w:sz w:val="28"/>
          <w:szCs w:val="28"/>
        </w:rPr>
        <w:t>ельной работой студентов…………..23</w:t>
      </w:r>
    </w:p>
    <w:p w:rsidR="00DE1006" w:rsidRPr="00D227DC" w:rsidRDefault="00DE1006" w:rsidP="00DE1006">
      <w:pPr>
        <w:spacing w:after="0" w:line="240" w:lineRule="auto"/>
        <w:ind w:left="-567"/>
        <w:jc w:val="both"/>
        <w:rPr>
          <w:rFonts w:ascii="Times New Roman" w:hAnsi="Times New Roman" w:cs="Times New Roman"/>
          <w:sz w:val="28"/>
          <w:szCs w:val="28"/>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w:t>
      </w:r>
      <w:r w:rsidR="00724570">
        <w:rPr>
          <w:rFonts w:ascii="Times New Roman" w:eastAsia="Times New Roman" w:hAnsi="Times New Roman"/>
          <w:bCs/>
          <w:sz w:val="24"/>
          <w:szCs w:val="24"/>
        </w:rPr>
        <w:t>выполнение контрольной работы</w:t>
      </w:r>
      <w:r w:rsidRPr="00F86E0E">
        <w:rPr>
          <w:rFonts w:ascii="Times New Roman" w:eastAsia="Times New Roman" w:hAnsi="Times New Roman"/>
          <w:bCs/>
          <w:sz w:val="24"/>
          <w:szCs w:val="24"/>
        </w:rPr>
        <w:t>.</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w:t>
      </w:r>
      <w:r w:rsidR="00724570">
        <w:rPr>
          <w:rFonts w:ascii="Times New Roman" w:hAnsi="Times New Roman"/>
          <w:b/>
          <w:sz w:val="24"/>
          <w:szCs w:val="24"/>
        </w:rPr>
        <w:t>выполнению контрольной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Учебным планом предусмотрено написание контрольных работ, целью которых является закрепление и расширение полученных теоретических и практических знаний по направлению подготовки, применение этих знаний при решении конкретных задач и вопросов.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письменных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контрольной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Весь процесс написания контрольной работы можно условно разделить на следующие этапы: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а) выбор темы и составление предварительного плана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б) сбор научной информации, изучение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 анализ составных частей проблемы, изложение темы;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г) обработка материала в целом.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Общими требованиями к контрольным работам являются: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1) целевая направленность;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2) четкость построения;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3) логическая последовательность;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4) убедительность аргументации;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5) краткость и ясность формулировок;</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6) творческий подход к написанию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7) правильность и обоснованность выводов;</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8) стиль изложения;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9) грамотное оформление.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Исходя из общих требований, контрольная работа должна:</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lastRenderedPageBreak/>
        <w:t>–</w:t>
      </w:r>
      <w:r w:rsidRPr="00724570">
        <w:rPr>
          <w:rFonts w:ascii="Times New Roman" w:eastAsia="Times New Roman" w:hAnsi="Times New Roman" w:cs="Times New Roman"/>
          <w:sz w:val="24"/>
          <w:szCs w:val="24"/>
        </w:rPr>
        <w:tab/>
        <w:t>представлять самостоятельное исследование одной из актуальных правовых проблем;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показать умение студента делать теоретические обобщения и практические выводы в избранной теме;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отличаться логичностью, аргументированностью, достоверностью фактов, проблемным творческим подходом, научной объективностью;</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быть правильно оформленной (научный аппарат, язык, стиль, четкость структуры, аккуратность исполнения и т.д.) и представленной в надлежащие сроки;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полностью раскрывать тему, основываясь на источниках и интерпретации исследовательской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Контрольная работа по дисциплине должна соответствовать современному состоянию и перспективам развития действующего законодательства. В связи с чем, студент, при ее написании, должен учитывать все последние изменения законодательной базы. Контрольная работа заключается в подробном письменном ответе на вопросы на основе самостоятельно обработанной информации. Все ответы на вопросы должны быть обоснованы ссылками на современное законодательство и правоприменительную практику. </w:t>
      </w:r>
    </w:p>
    <w:p w:rsidR="00833EB8" w:rsidRPr="00F86E0E" w:rsidRDefault="00724570" w:rsidP="00724570">
      <w:pPr>
        <w:spacing w:after="0" w:line="240" w:lineRule="auto"/>
        <w:ind w:left="-567" w:firstLine="709"/>
        <w:jc w:val="both"/>
        <w:rPr>
          <w:rFonts w:ascii="Times New Roman" w:eastAsia="Times New Roman" w:hAnsi="Times New Roman" w:cs="Times New Roman"/>
          <w:color w:val="000000"/>
          <w:sz w:val="24"/>
          <w:szCs w:val="24"/>
        </w:rPr>
      </w:pPr>
      <w:r w:rsidRPr="00724570">
        <w:rPr>
          <w:rFonts w:ascii="Times New Roman" w:eastAsia="Times New Roman" w:hAnsi="Times New Roman" w:cs="Times New Roman"/>
          <w:sz w:val="24"/>
          <w:szCs w:val="24"/>
        </w:rPr>
        <w:t>Контрольная работа должна быть написана правильным литературным языком, не должна содержать орфографических ошибок.</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724570" w:rsidRDefault="00724570"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lastRenderedPageBreak/>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w:t>
      </w:r>
      <w:r w:rsidRPr="00F86E0E">
        <w:rPr>
          <w:rFonts w:ascii="Times New Roman" w:hAnsi="Times New Roman" w:cs="Times New Roman"/>
          <w:sz w:val="24"/>
          <w:szCs w:val="24"/>
        </w:rPr>
        <w:lastRenderedPageBreak/>
        <w:t>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w:t>
      </w:r>
      <w:r w:rsidRPr="00F86E0E">
        <w:rPr>
          <w:rFonts w:ascii="Times New Roman" w:hAnsi="Times New Roman" w:cs="Times New Roman"/>
          <w:sz w:val="24"/>
          <w:szCs w:val="24"/>
        </w:rPr>
        <w:lastRenderedPageBreak/>
        <w:t xml:space="preserve">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4B30E3">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4B30E3">
        <w:rPr>
          <w:rStyle w:val="a7"/>
          <w:rFonts w:ascii="Times New Roman" w:hAnsi="Times New Roman" w:cs="Times New Roman"/>
          <w:b w:val="0"/>
          <w:sz w:val="24"/>
          <w:szCs w:val="24"/>
        </w:rPr>
        <w:t>»</w:t>
      </w:r>
      <w:bookmarkStart w:id="1" w:name="_GoBack"/>
      <w:bookmarkEnd w:id="1"/>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lastRenderedPageBreak/>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w:t>
      </w:r>
      <w:r w:rsidRPr="009D664D">
        <w:rPr>
          <w:rFonts w:ascii="Times New Roman" w:eastAsia="Times New Roman" w:hAnsi="Times New Roman" w:cs="Times New Roman"/>
          <w:color w:val="000000"/>
          <w:sz w:val="24"/>
          <w:szCs w:val="24"/>
        </w:rPr>
        <w:lastRenderedPageBreak/>
        <w:t>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w:t>
      </w:r>
      <w:r w:rsidRPr="00F86E0E">
        <w:rPr>
          <w:rFonts w:ascii="Times New Roman" w:hAnsi="Times New Roman" w:cs="Times New Roman"/>
          <w:sz w:val="24"/>
          <w:szCs w:val="24"/>
        </w:rPr>
        <w:lastRenderedPageBreak/>
        <w:t xml:space="preserve">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lastRenderedPageBreak/>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w:t>
      </w:r>
      <w:r w:rsidRPr="00F86E0E">
        <w:rPr>
          <w:color w:val="000000"/>
        </w:rPr>
        <w:lastRenderedPageBreak/>
        <w:t>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09" w:rsidRDefault="00E57009" w:rsidP="009C4F41">
      <w:pPr>
        <w:spacing w:after="0" w:line="240" w:lineRule="auto"/>
      </w:pPr>
      <w:r>
        <w:separator/>
      </w:r>
    </w:p>
  </w:endnote>
  <w:endnote w:type="continuationSeparator" w:id="0">
    <w:p w:rsidR="00E57009" w:rsidRDefault="00E57009"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E17D50" w:rsidRDefault="00E17D50">
        <w:pPr>
          <w:pStyle w:val="ac"/>
          <w:jc w:val="right"/>
        </w:pPr>
        <w:r>
          <w:fldChar w:fldCharType="begin"/>
        </w:r>
        <w:r>
          <w:instrText xml:space="preserve"> PAGE   \* MERGEFORMAT </w:instrText>
        </w:r>
        <w:r>
          <w:fldChar w:fldCharType="separate"/>
        </w:r>
        <w:r w:rsidR="004B30E3">
          <w:rPr>
            <w:noProof/>
          </w:rPr>
          <w:t>13</w:t>
        </w:r>
        <w:r>
          <w:rPr>
            <w:noProof/>
          </w:rPr>
          <w:fldChar w:fldCharType="end"/>
        </w:r>
      </w:p>
    </w:sdtContent>
  </w:sdt>
  <w:p w:rsidR="00E17D50" w:rsidRDefault="00E17D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09" w:rsidRDefault="00E57009" w:rsidP="009C4F41">
      <w:pPr>
        <w:spacing w:after="0" w:line="240" w:lineRule="auto"/>
      </w:pPr>
      <w:r>
        <w:separator/>
      </w:r>
    </w:p>
  </w:footnote>
  <w:footnote w:type="continuationSeparator" w:id="0">
    <w:p w:rsidR="00E57009" w:rsidRDefault="00E57009"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15:restartNumberingAfterBreak="0">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A42AC"/>
    <w:rsid w:val="000C30E1"/>
    <w:rsid w:val="000F3121"/>
    <w:rsid w:val="000F4359"/>
    <w:rsid w:val="000F4361"/>
    <w:rsid w:val="00112E32"/>
    <w:rsid w:val="00141CB0"/>
    <w:rsid w:val="00185BCD"/>
    <w:rsid w:val="00194116"/>
    <w:rsid w:val="001E2C9E"/>
    <w:rsid w:val="001F68FB"/>
    <w:rsid w:val="002020FD"/>
    <w:rsid w:val="002700DD"/>
    <w:rsid w:val="003050A4"/>
    <w:rsid w:val="00345C20"/>
    <w:rsid w:val="00380AFD"/>
    <w:rsid w:val="003D4BEE"/>
    <w:rsid w:val="003F7C7A"/>
    <w:rsid w:val="00451E80"/>
    <w:rsid w:val="004A2BAC"/>
    <w:rsid w:val="004B30E3"/>
    <w:rsid w:val="0054409B"/>
    <w:rsid w:val="00553BBE"/>
    <w:rsid w:val="006357BF"/>
    <w:rsid w:val="006F462B"/>
    <w:rsid w:val="00724570"/>
    <w:rsid w:val="007A753B"/>
    <w:rsid w:val="00833EB8"/>
    <w:rsid w:val="008E37B8"/>
    <w:rsid w:val="00905DF7"/>
    <w:rsid w:val="00941B2E"/>
    <w:rsid w:val="0097311D"/>
    <w:rsid w:val="009C4F41"/>
    <w:rsid w:val="009D2550"/>
    <w:rsid w:val="009D6E3F"/>
    <w:rsid w:val="00AA4B36"/>
    <w:rsid w:val="00AD16C3"/>
    <w:rsid w:val="00AF32B0"/>
    <w:rsid w:val="00AF6366"/>
    <w:rsid w:val="00B2422B"/>
    <w:rsid w:val="00B30CF1"/>
    <w:rsid w:val="00C05FA7"/>
    <w:rsid w:val="00CD24BF"/>
    <w:rsid w:val="00CE1DB6"/>
    <w:rsid w:val="00D22F03"/>
    <w:rsid w:val="00D47509"/>
    <w:rsid w:val="00D870CD"/>
    <w:rsid w:val="00DC3F3F"/>
    <w:rsid w:val="00DE1006"/>
    <w:rsid w:val="00E17D50"/>
    <w:rsid w:val="00E36D9E"/>
    <w:rsid w:val="00E57009"/>
    <w:rsid w:val="00E86C0F"/>
    <w:rsid w:val="00EB6CBD"/>
    <w:rsid w:val="00EC352F"/>
    <w:rsid w:val="00F0599C"/>
    <w:rsid w:val="00F37DA8"/>
    <w:rsid w:val="00F67CCE"/>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3BD7F-A6D3-4373-98D7-5D410351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0181-5D0E-4017-9FCD-5D00B26D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8268</Words>
  <Characters>47133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8</cp:revision>
  <cp:lastPrinted>2019-10-13T11:10:00Z</cp:lastPrinted>
  <dcterms:created xsi:type="dcterms:W3CDTF">2019-10-13T11:10:00Z</dcterms:created>
  <dcterms:modified xsi:type="dcterms:W3CDTF">2019-12-13T06:16:00Z</dcterms:modified>
</cp:coreProperties>
</file>