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5D53F1" w:rsidRPr="005D53F1">
        <w:rPr>
          <w:rFonts w:ascii="Times New Roman" w:eastAsia="Arial Unicode MS" w:hAnsi="Times New Roman" w:cs="Times New Roman"/>
          <w:sz w:val="32"/>
          <w:szCs w:val="32"/>
          <w:lang w:eastAsia="ru-RU"/>
        </w:rPr>
        <w:t xml:space="preserve">Б1.Д.В.14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154EF" w:rsidRDefault="003154EF" w:rsidP="003154EF">
      <w:pPr>
        <w:pStyle w:val="ReportHead"/>
        <w:suppressAutoHyphens/>
        <w:rPr>
          <w:i/>
          <w:szCs w:val="28"/>
          <w:u w:val="single"/>
        </w:rPr>
      </w:pPr>
      <w:r>
        <w:rPr>
          <w:i/>
          <w:szCs w:val="28"/>
          <w:u w:val="single"/>
        </w:rPr>
        <w:t>Биоэкология</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207500" w:rsidRDefault="00207500" w:rsidP="00207500">
      <w:pPr>
        <w:pStyle w:val="ReportHead"/>
        <w:suppressAutoHyphens/>
        <w:rPr>
          <w:i/>
          <w:szCs w:val="28"/>
          <w:u w:val="single"/>
        </w:rPr>
      </w:pPr>
      <w:r>
        <w:rPr>
          <w:i/>
          <w:szCs w:val="28"/>
          <w:u w:val="single"/>
        </w:rPr>
        <w:t>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bookmarkStart w:id="0" w:name="_GoBack"/>
      <w:bookmarkEnd w:id="0"/>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D3226">
        <w:rPr>
          <w:rFonts w:ascii="Times New Roman" w:eastAsia="Arial Unicode MS" w:hAnsi="Times New Roman" w:cs="Times New Roman"/>
          <w:sz w:val="28"/>
          <w:szCs w:val="24"/>
          <w:lang w:eastAsia="ru-RU"/>
        </w:rPr>
        <w:t>2022</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5D53F1" w:rsidRPr="005D53F1">
        <w:rPr>
          <w:rFonts w:ascii="Times New Roman" w:eastAsia="Times New Roman" w:hAnsi="Times New Roman" w:cs="Times New Roman"/>
          <w:sz w:val="28"/>
          <w:szCs w:val="28"/>
        </w:rPr>
        <w:t>Б1.Д.В.14</w:t>
      </w:r>
      <w:r w:rsidR="005D53F1">
        <w:rPr>
          <w:i/>
          <w:sz w:val="24"/>
        </w:rPr>
        <w:t xml:space="preserve"> </w:t>
      </w:r>
      <w:r>
        <w:rPr>
          <w:rFonts w:ascii="Times New Roman" w:eastAsia="Times New Roman" w:hAnsi="Times New Roman" w:cs="Times New Roman"/>
          <w:sz w:val="28"/>
          <w:szCs w:val="28"/>
        </w:rPr>
        <w:t>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3226">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8"/>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6D63A3" w:rsidRPr="005D53F1" w:rsidTr="006C635A">
        <w:trPr>
          <w:tblHeader/>
        </w:trPr>
        <w:tc>
          <w:tcPr>
            <w:tcW w:w="3595"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p>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rPr>
            </w:pPr>
            <w:r w:rsidRPr="005D53F1">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5D53F1" w:rsidTr="006C635A">
        <w:trPr>
          <w:trHeight w:val="1215"/>
          <w:tblHeader/>
        </w:trPr>
        <w:tc>
          <w:tcPr>
            <w:tcW w:w="3595" w:type="dxa"/>
            <w:vMerge w:val="restart"/>
            <w:shd w:val="clear" w:color="auto" w:fill="auto"/>
          </w:tcPr>
          <w:p w:rsidR="006D63A3" w:rsidRPr="005D53F1" w:rsidRDefault="005D53F1" w:rsidP="006C635A">
            <w:pPr>
              <w:widowControl w:val="0"/>
              <w:spacing w:after="0" w:line="240" w:lineRule="auto"/>
              <w:rPr>
                <w:rFonts w:ascii="Times New Roman" w:hAnsi="Times New Roman" w:cs="Times New Roman"/>
                <w:sz w:val="24"/>
                <w:szCs w:val="24"/>
              </w:rPr>
            </w:pPr>
            <w:r w:rsidRPr="005D53F1">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D53F1" w:rsidRPr="005D53F1" w:rsidRDefault="005D53F1" w:rsidP="006C635A">
            <w:pPr>
              <w:widowControl w:val="0"/>
              <w:spacing w:after="0" w:line="240" w:lineRule="auto"/>
              <w:rPr>
                <w:rFonts w:ascii="Times New Roman" w:hAnsi="Times New Roman" w:cs="Times New Roman"/>
                <w:sz w:val="24"/>
                <w:szCs w:val="24"/>
              </w:rPr>
            </w:pPr>
          </w:p>
          <w:p w:rsidR="005D53F1" w:rsidRPr="005D53F1" w:rsidRDefault="005D53F1" w:rsidP="005D53F1">
            <w:pPr>
              <w:pStyle w:val="ReportMain"/>
              <w:suppressAutoHyphens/>
              <w:rPr>
                <w:szCs w:val="24"/>
              </w:rPr>
            </w:pPr>
            <w:r w:rsidRPr="005D53F1">
              <w:rPr>
                <w:szCs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5D53F1" w:rsidRPr="005D53F1" w:rsidRDefault="005D53F1" w:rsidP="005D53F1">
            <w:pPr>
              <w:pStyle w:val="ReportMain"/>
              <w:suppressAutoHyphens/>
              <w:rPr>
                <w:szCs w:val="24"/>
              </w:rPr>
            </w:pPr>
            <w:r w:rsidRPr="005D53F1">
              <w:rPr>
                <w:szCs w:val="24"/>
              </w:rPr>
              <w:t xml:space="preserve">УК-8-В-2 Использует приемы первой помощи, методы защиты </w:t>
            </w:r>
            <w:r w:rsidRPr="005D53F1">
              <w:rPr>
                <w:szCs w:val="24"/>
              </w:rPr>
              <w:lastRenderedPageBreak/>
              <w:t>в условиях чрезвычайных ситуаций и военных конфликтов</w:t>
            </w:r>
          </w:p>
          <w:p w:rsidR="005D53F1" w:rsidRPr="005D53F1" w:rsidRDefault="005D53F1" w:rsidP="005D53F1">
            <w:pPr>
              <w:widowControl w:val="0"/>
              <w:spacing w:after="0" w:line="240" w:lineRule="auto"/>
              <w:rPr>
                <w:rFonts w:ascii="Times New Roman" w:eastAsia="Times New Roman" w:hAnsi="Times New Roman" w:cs="Times New Roman"/>
                <w:i/>
                <w:sz w:val="24"/>
                <w:szCs w:val="24"/>
                <w:lang w:eastAsia="ru-RU"/>
              </w:rPr>
            </w:pPr>
            <w:r w:rsidRPr="005D53F1">
              <w:rPr>
                <w:rFonts w:ascii="Times New Roman" w:hAnsi="Times New Roman" w:cs="Times New Roman"/>
                <w:sz w:val="24"/>
                <w:szCs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lastRenderedPageBreak/>
              <w:t>Знать:</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основные понятия иммунологии;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виды иммунитета;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механические, физико-химические и иммунобиологические факторы защиты организма;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антителообразование;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структуру, классификацию и функции антител;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взаимодействие клеток в иммунном ответе; </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роль медиаторов и гормонов иммунной системы;</w:t>
            </w:r>
          </w:p>
          <w:p w:rsidR="006D63A3" w:rsidRPr="005D53F1" w:rsidRDefault="006D63A3" w:rsidP="005D53F1">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А </w:t>
            </w:r>
            <w:r w:rsidRPr="005D53F1">
              <w:rPr>
                <w:rFonts w:ascii="Times New Roman" w:eastAsia="Calibri" w:hAnsi="Times New Roman" w:cs="Times New Roman"/>
                <w:b/>
                <w:sz w:val="24"/>
                <w:szCs w:val="24"/>
              </w:rPr>
              <w:sym w:font="Symbol" w:char="F02D"/>
            </w:r>
            <w:r w:rsidRPr="005D53F1">
              <w:rPr>
                <w:rFonts w:ascii="Times New Roman" w:eastAsia="Calibri" w:hAnsi="Times New Roman" w:cs="Times New Roman"/>
                <w:b/>
                <w:sz w:val="24"/>
                <w:szCs w:val="24"/>
              </w:rPr>
              <w:t xml:space="preserve"> </w:t>
            </w:r>
            <w:r w:rsidRPr="005D53F1">
              <w:rPr>
                <w:rFonts w:ascii="Times New Roman" w:eastAsia="Calibri" w:hAnsi="Times New Roman" w:cs="Times New Roman"/>
                <w:sz w:val="24"/>
                <w:szCs w:val="24"/>
              </w:rPr>
              <w:t>задания репродуктивного уровня: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тестовые задания;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вопросы для опроса;</w:t>
            </w:r>
          </w:p>
          <w:p w:rsidR="006D63A3" w:rsidRPr="005D53F1" w:rsidRDefault="006D63A3" w:rsidP="006C635A">
            <w:pPr>
              <w:widowControl w:val="0"/>
              <w:spacing w:after="0" w:line="240" w:lineRule="auto"/>
              <w:jc w:val="both"/>
              <w:rPr>
                <w:rFonts w:ascii="Times New Roman" w:eastAsia="Times New Roman" w:hAnsi="Times New Roman" w:cs="Times New Roman"/>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Уметь:</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использовать способы, алгоритмы, технологии организации самостоятельной познавательной деятельности;</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 выбирать средства и методы, достаточные для решения задач в предметной области;</w:t>
            </w:r>
          </w:p>
          <w:p w:rsidR="005D53F1" w:rsidRPr="005D53F1" w:rsidRDefault="005D53F1" w:rsidP="005D53F1">
            <w:pPr>
              <w:spacing w:after="0" w:line="240" w:lineRule="auto"/>
              <w:jc w:val="both"/>
              <w:rPr>
                <w:rFonts w:ascii="Times New Roman" w:hAnsi="Times New Roman" w:cs="Times New Roman"/>
                <w:sz w:val="24"/>
                <w:szCs w:val="24"/>
                <w:u w:val="single"/>
              </w:rPr>
            </w:pPr>
            <w:r w:rsidRPr="005D53F1">
              <w:rPr>
                <w:rFonts w:ascii="Times New Roman" w:hAnsi="Times New Roman" w:cs="Times New Roman"/>
                <w:sz w:val="24"/>
                <w:szCs w:val="24"/>
              </w:rPr>
              <w:t>- решать профессиональные задачи в меняющихся условиях деятельности и корпоративного взаимодействия.</w:t>
            </w:r>
          </w:p>
          <w:p w:rsidR="006D63A3" w:rsidRPr="005D53F1" w:rsidRDefault="006D63A3" w:rsidP="006C635A">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В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реконструктивного уровня.</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примерные задания к выполнению практических работ;</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типовые задачи</w:t>
            </w:r>
          </w:p>
          <w:p w:rsidR="006D63A3" w:rsidRPr="005D53F1" w:rsidRDefault="006D63A3" w:rsidP="006C635A">
            <w:pPr>
              <w:widowControl w:val="0"/>
              <w:spacing w:line="240" w:lineRule="auto"/>
              <w:rPr>
                <w:rFonts w:ascii="Times New Roman" w:eastAsia="Calibri" w:hAnsi="Times New Roman" w:cs="Times New Roman"/>
                <w:b/>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Владеть:</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понятийным аппаратом о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6D63A3" w:rsidRPr="005D53F1" w:rsidRDefault="005D53F1" w:rsidP="005D53F1">
            <w:pPr>
              <w:widowControl w:val="0"/>
              <w:spacing w:after="0" w:line="240" w:lineRule="auto"/>
              <w:rPr>
                <w:rFonts w:ascii="Times New Roman" w:eastAsia="Calibri" w:hAnsi="Times New Roman" w:cs="Times New Roman"/>
                <w:sz w:val="24"/>
                <w:szCs w:val="24"/>
              </w:rPr>
            </w:pPr>
            <w:r w:rsidRPr="005D53F1">
              <w:rPr>
                <w:rFonts w:ascii="Times New Roman" w:hAnsi="Times New Roman" w:cs="Times New Roman"/>
                <w:sz w:val="24"/>
                <w:szCs w:val="24"/>
              </w:rPr>
              <w:t>- методами анализа и оценки состояния живых систем, иммунологических тестов.</w:t>
            </w: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С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5D53F1" w:rsidRDefault="006D63A3" w:rsidP="006C635A">
            <w:pPr>
              <w:widowControl w:val="0"/>
              <w:spacing w:after="0" w:line="240" w:lineRule="auto"/>
              <w:rPr>
                <w:rFonts w:ascii="Times New Roman" w:eastAsia="Times New Roman" w:hAnsi="Times New Roman" w:cs="Times New Roman"/>
                <w:sz w:val="24"/>
                <w:szCs w:val="24"/>
                <w:lang w:eastAsia="ru-RU"/>
              </w:rPr>
            </w:pPr>
            <w:r w:rsidRPr="005D53F1">
              <w:rPr>
                <w:rFonts w:ascii="Times New Roman" w:eastAsia="Times New Roman" w:hAnsi="Times New Roman" w:cs="Times New Roman"/>
                <w:sz w:val="24"/>
                <w:szCs w:val="24"/>
                <w:lang w:eastAsia="ru-RU"/>
              </w:rPr>
              <w:t xml:space="preserve">- комплексные практические  задания  </w:t>
            </w:r>
          </w:p>
          <w:p w:rsidR="006D63A3" w:rsidRPr="005D53F1" w:rsidRDefault="006D63A3" w:rsidP="006C635A">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 Инаппарантные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4. Манифестные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характеризуется антогонизмом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характеризуется синергидным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9. К факторам патогенности, обусловливающим инвазивность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10. К факторам патогенности, определяющим антифагоцитарную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11. Для экзотокинов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цитотоксины;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мембранотоксины;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эксофолиатины;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16. К токсигенности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19. Под септикопиемией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21. Токсинемией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макроорганизме и оказывать на него патогенное действие и защитных реакциях макроорганизма,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макроорганизма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23. Изучение закономерностей взаимодействия микроорганизма и макроорганизма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макроорганизма,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совокупность приспособительных реакций макроорганизма,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проникновение микроба в макроорганизм,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формирование защитных реакций макроорганизма,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восстановление гомеостаза и приобретение макроорганизмом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степени восприимчивости макроорганизма-хозяина;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32.Способность патогенных микроорганизмов размножаться и развиваться в макроорганизме-хозяине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факторы инвазивности, которые способствуют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33.Факторы инвазивности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проникновение и распространение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36. К механизмам подавления защитных факторов макроорганизма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экстрацеллюлярных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белки, ассоциированные с липополисахаридом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Vi-антиген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 антихемотаксические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40. Цитотоксины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41. Мембранотоксины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43. Эксфолиатины и эритрогенины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бифидобактерии;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лактобактерии;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восприимчивый макроорганизм;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трасформацией;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состоят из глюцидолипидопротеиновых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менее токсичены;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глюцидолипиднопротеиновых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бактерионосительство;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а)  тканевoй;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гемотагенный;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лимфогенный;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моноинфекция;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гипочувствительность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гипочувствительность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антропозоонозные.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антропозоонозные;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зндогенные;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А.тимус</w:t>
      </w:r>
      <w:r w:rsidR="004525CB" w:rsidRPr="004525CB">
        <w:rPr>
          <w:rFonts w:ascii="Times New Roman" w:eastAsia="Times New Roman" w:hAnsi="Times New Roman" w:cs="Times New Roman"/>
          <w:sz w:val="28"/>
          <w:szCs w:val="28"/>
          <w:lang w:eastAsia="ru-RU"/>
        </w:rPr>
        <w:br/>
        <w:t>Б.миндалины</w:t>
      </w:r>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А.селезенка</w:t>
      </w:r>
      <w:r w:rsidR="004525CB" w:rsidRPr="004525CB">
        <w:rPr>
          <w:rFonts w:ascii="Times New Roman" w:eastAsia="Times New Roman" w:hAnsi="Times New Roman" w:cs="Times New Roman"/>
          <w:sz w:val="28"/>
          <w:szCs w:val="28"/>
          <w:lang w:eastAsia="ru-RU"/>
        </w:rPr>
        <w:br/>
        <w:t>Б.тимус</w:t>
      </w:r>
      <w:r w:rsidR="004525CB" w:rsidRPr="004525CB">
        <w:rPr>
          <w:rFonts w:ascii="Times New Roman" w:eastAsia="Times New Roman" w:hAnsi="Times New Roman" w:cs="Times New Roman"/>
          <w:sz w:val="28"/>
          <w:szCs w:val="28"/>
          <w:lang w:eastAsia="ru-RU"/>
        </w:rPr>
        <w:br/>
        <w:t>В.костный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t>A.синтез всех классов lg</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Б.лимфопоэз</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B.развитие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t>A.макрофаг</w:t>
      </w:r>
      <w:r w:rsidR="004525CB" w:rsidRPr="004525CB">
        <w:rPr>
          <w:rFonts w:ascii="Times New Roman" w:eastAsia="Times New Roman" w:hAnsi="Times New Roman" w:cs="Times New Roman"/>
          <w:sz w:val="28"/>
          <w:szCs w:val="28"/>
          <w:lang w:eastAsia="ru-RU"/>
        </w:rPr>
        <w:br/>
        <w:t>Б. полипотеитная стволовая клетка</w:t>
      </w:r>
      <w:r w:rsidR="004525CB" w:rsidRPr="004525CB">
        <w:rPr>
          <w:rFonts w:ascii="Times New Roman" w:eastAsia="Times New Roman" w:hAnsi="Times New Roman" w:cs="Times New Roman"/>
          <w:sz w:val="28"/>
          <w:szCs w:val="28"/>
          <w:lang w:eastAsia="ru-RU"/>
        </w:rPr>
        <w:br/>
        <w:t>B.дендритная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тимоцит</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А. тиреоидный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тимозин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тимопоэтин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миелопептиды</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7. Антигензависимая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 перифирических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Г. эозонофил</w:t>
      </w:r>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12.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13.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15. Лимфопоэз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клетка-предшественник→ранняя про-В-клетка→ поздняя про-В-клетка→ большая пре-В-клетка→ малая пре-В-клетка→ незрелая В-клетка→ зрелая неимунная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В. клетка-предшественник→незрелая В-клетка.</w:t>
      </w:r>
      <w:r w:rsidR="004525CB" w:rsidRPr="004525CB">
        <w:rPr>
          <w:rFonts w:ascii="Times New Roman" w:eastAsia="Times New Roman" w:hAnsi="Times New Roman" w:cs="Times New Roman"/>
          <w:sz w:val="28"/>
          <w:szCs w:val="28"/>
          <w:lang w:eastAsia="ru-RU"/>
        </w:rPr>
        <w:br/>
        <w:t>Г. большая пре-В-клетка→ малая пре-В-клетка→ зрелая неимунная В-клетка</w:t>
      </w:r>
      <w:r w:rsidR="004525CB" w:rsidRPr="004525CB">
        <w:rPr>
          <w:rFonts w:ascii="Times New Roman" w:eastAsia="Times New Roman" w:hAnsi="Times New Roman" w:cs="Times New Roman"/>
          <w:sz w:val="28"/>
          <w:szCs w:val="28"/>
          <w:lang w:eastAsia="ru-RU"/>
        </w:rPr>
        <w:br/>
        <w:t>Д. ранняя про-В-клетка→ клетка-предшественник→ поздняя про-В-клетка→ большая пре-В-клетка→ малая пре-В-клетка→ незрелая В-клетка→ зрелая неимунная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синтез монокинов</w:t>
      </w:r>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выработка иммунноглобулинов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ИЛ-2, y-ИФН и лимфотоксин</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А. ИЛ-2, y-ИФН, лимфотоксин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21. Антигенраспознающие рецепторы экспрессируются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Д. тимоцитов</w:t>
      </w:r>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Д. в тельцах Гассаля</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24. Антигензависимую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В. взаимодействие с аутоантителом</w:t>
      </w:r>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Д. взаимодействие с монокином</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антителонезависимый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Д. участие в лимфопоэзе</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тимоциты</w:t>
      </w:r>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31. Где происходит антигеннезависимая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Д. тимоцит</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актигеннезависимая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антигензависимая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монокины</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В. паракортикальной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Д. красной пульпе и паракортикальной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клетки Лангерганса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В. тимоциты</w:t>
      </w:r>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40. Специализированным лимфоидным органом, в котором проходят лимфопоэз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Д. методом проточной цитофлюориметрии</w:t>
      </w: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методом проточной цитофлюориметрии</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Выявление Ig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Реакции Прауснитця-Кюстн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Идиосинкразия является следствием непереносимости некоторых продуктов, растений, лекарств, обусловленных повышенной концентрацией в оргнизми: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Реакция бласт-трансформа ции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Проявление феномена бласт-трансформа ции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Анафилактические и атопические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Цитотропнимы IgЕ;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Атопическая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Цитотоксические и цитолитические реакции, опосредованные взаимодействием антигена (аллергена) с Ig G, Ig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агранулоцитозом;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-Феномена Артюса.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клеток-супрессоров</w:t>
      </w:r>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эритроцитарных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изоантител;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тиреоидит;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В лаборатории биологического контроля биофабрики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Укажите животных, у которых антитела передаются как диаплацентарно,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При генерализованной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Укажите, какие из указанных трансплантантов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Аутотранспланта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-Аутотранспланта ты забарьерних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-Ксеногенные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Урожденная агамаглобулинеми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В-кл и в Т-кл;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-Лейкопения под влиянием микотоксинов;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-Урожденная агамаглобулинеми</w:t>
      </w:r>
      <w:r w:rsidR="004525CB" w:rsidRPr="004525CB">
        <w:rPr>
          <w:rFonts w:ascii="Times New Roman" w:eastAsia="Times New Roman" w:hAnsi="Times New Roman" w:cs="Times New Roman"/>
          <w:color w:val="000000"/>
          <w:sz w:val="28"/>
          <w:szCs w:val="28"/>
          <w:lang w:eastAsia="ru-RU"/>
        </w:rPr>
        <w:t>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аутоантител и идентификации аутоантиген;;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Тимозин и тимарин;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Тимопостин;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-Мурамилпептидов;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-Левамизол.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-Потере ее реактогенности;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Для инактивации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«авидность»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(Fab-фрагментов)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(комплементарность</w:t>
      </w:r>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бактериолитическое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Инактивация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-Антиглобулиновая сыворотка меченая пероксидазой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-Преципитирующие;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Преципитирующие;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Fс-фрагментов;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Fаb-фрагментов;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Какие из иммуноглобулинов составляют основную массу Ig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Иммуноглобулины какого класса способны передавать плода трансплацентарно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Иммуноглобулины какого класса относятся к цитофильн</w:t>
      </w:r>
      <w:r w:rsidRPr="00834CF7">
        <w:rPr>
          <w:rFonts w:ascii="Times New Roman" w:eastAsia="Times New Roman" w:hAnsi="Times New Roman" w:cs="Times New Roman"/>
          <w:b/>
          <w:color w:val="000000"/>
          <w:sz w:val="28"/>
          <w:szCs w:val="28"/>
          <w:lang w:eastAsia="ru-RU"/>
        </w:rPr>
        <w:t>ым</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 Для антигенов главного комплекса системы гистосовместимости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обеспечивает нейтрализацию, опсонизацию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существует в форме мономера, с 2 антигенсвязываюшими центрами и в полимерной форме в виде ди- или тримера;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имеет молекулярную массу 160 кДа;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r w:rsidRPr="004525CB">
        <w:rPr>
          <w:rFonts w:ascii="Times New Roman" w:eastAsia="Times New Roman" w:hAnsi="Times New Roman" w:cs="Times New Roman"/>
          <w:iCs/>
          <w:sz w:val="28"/>
          <w:szCs w:val="28"/>
          <w:lang w:eastAsia="ru-RU"/>
        </w:rPr>
        <w:t>реагином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В-лимфоиитов;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 а затем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ционной теории Ф. Бернета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11. Укажите, какие из следующих характеристик лучше всего определяют свойства гаптенов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иммуногенны и реагируют с Ат;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иммуногенны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реагируют с Ат, но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 и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13. В трехклеточной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цитотоксичность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полугаптены;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18. Лимфокинами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21. Гаптеном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макроорганизмом.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видоспецифические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фимбриальные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27. Перекрестнореагирующими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a) Ig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б) Ig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в) Ig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видоспецифические;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вариантоспецифические.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41. Моноклональными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42. Моноклональньные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для приготовления иммуносорбентов,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противопротозойный;</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49.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50. Укажите индикаторы, используемые в иммуносеродиагностике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культуральные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натуральные киллерные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белки комплемента вырабатываются макрофагами, лейкоцитами, гепатоцитами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лектиновый.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6. Лектиновому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может активироваться полисахаридами, липиполисахаридами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маннансвязывающий лектин способен связывать остатки маннозы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процесс активации протеазы, расщепляющей компоненты С2 и С4, запускает процесс формирования лизирующего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антителогенез;</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10. В трехклеточной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г) цитотоксичность</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гиперчувтвительность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14. Лимфокинами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пропердина;</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киллингом.</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противопротозойный;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гепатоциты;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а) реакция с использованием эритроцитарных диагностикумов</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непрямая реакция Кумбса;</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реакция флоккуляции;</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г) реакция Видаля;</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д) реакция по Асколи.</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29. Основой иммуносерологической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(вирусемии)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антигенемии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30. Укажите индикаторы, используемые в иммуносеродиагностике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культуральные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31. Перечислите положения, справедливые для иммуносерологической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32. Укажите иммунологические параметры, используемые в иммуносеродиагностике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выявление качественной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выявление количественной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33. Изучение качественной иммуноконверсии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9"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0"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комплементарности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реакции коагглютинации;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иммуноэлектрофорез;</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реакции Кумбса.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антипротистный;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антифунгальный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макроорганизме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ареактивность клеток макроорганизма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г) антителогенез</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45. Ареактивность клеток макроорганизма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экзосекретов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47.К гуморальным факторам неспецифической резистентности макроорганизма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фибронектин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естественные  киллерные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макроорганизма: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неиммунологическая.</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диагностикумы;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9. Диагностикумы</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10. Моновалентные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серотипирование;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ареактивность.</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диагностикум;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 использовании эритроцитарных диагностикумов;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реакция коагглютинации;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32.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33. Антительным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диагностикум;</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эритроцитарный диагностикум;</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38. Коагглютинацией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 качестве инертного носителя используется культура золотистого стафилококка, на поверхности оболочки которого адсорбирован Fc-фрагмент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толероген;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47. Толерогенами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гаптены;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(моновалентная).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50. Укажите положения, характерные для расщепленной, или моновалентной,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гиперчувтвительность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2.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3. Перечислите положения, справедливые для иммуносерологической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4. Укажите иммунологические параметры, используемые в иммуносеродиагностике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качественной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количественной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5. Изучение качественной иммуноконверсии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1"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2"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распознавания заболеваний человека, основанный на принципе комплементарности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Манчини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радиоиммунологическим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запускают механизм антителозависимого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12. Иммунная реакция макроорганизма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неимунный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киллинг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антителозависимый бактериолизис</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инфицированию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неспецифически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антителозависимую клеточно-опосредованную цитотоксичность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антителонезависимую клеточно-опосредованную цитотоксичность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аллергизация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27. Грибковые поражения слизистых дыхательных и мочеполовых путей вызывают аллергизацию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29. Паразитарная инвазия сопровождается формированием в макроор</w:t>
      </w:r>
      <w:r w:rsidR="0071640C" w:rsidRPr="004525CB">
        <w:rPr>
          <w:rFonts w:ascii="Times New Roman" w:eastAsia="Times New Roman" w:hAnsi="Times New Roman" w:cs="Times New Roman"/>
          <w:b/>
          <w:color w:val="000000"/>
          <w:sz w:val="28"/>
          <w:szCs w:val="28"/>
          <w:lang w:eastAsia="ru-RU"/>
        </w:rPr>
        <w:softHyphen/>
        <w:t>ганизме</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макроорганизма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экспрессировать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34. Ведущую роль в осуществлении иммунной зашиты макроорганизма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35.Активированный эозинофил, дегранулируясь,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губительно действуют на клетки макроорганизма</w:t>
      </w:r>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их дегрануляцию.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генерализованный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40. Глистная инвазия сопровождается атлергизацией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42. В число опухольассоциированных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гиперэксрессируемые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иммуносепрессивная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опухольассоциированных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интерлейкины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характерны следующиепризнаки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гиперчувствительность этого типа можно передать интактному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10. Аутоимунные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B017"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используется для аллергодиагностики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гаптену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16. При повторном проникновении аллегена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22. В результате применения метода десенсебилизации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r w:rsidRPr="004525CB">
        <w:rPr>
          <w:rFonts w:ascii="Times New Roman" w:eastAsia="Times New Roman" w:hAnsi="Times New Roman" w:cs="Times New Roman"/>
          <w:bCs/>
          <w:kern w:val="32"/>
          <w:sz w:val="28"/>
          <w:szCs w:val="28"/>
          <w:lang w:val="en-US" w:eastAsia="ru-RU"/>
        </w:rPr>
        <w:t>IgG</w:t>
      </w:r>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алегрена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стрептококковый гломерулонефрит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атопическую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комплементзависимый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атопической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гломерулонефрите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r w:rsidR="0071640C" w:rsidRPr="004525CB">
        <w:rPr>
          <w:rFonts w:ascii="Times New Roman" w:eastAsia="Times New Roman" w:hAnsi="Times New Roman" w:cs="Times New Roman"/>
          <w:b/>
          <w:iCs/>
          <w:sz w:val="28"/>
          <w:szCs w:val="28"/>
          <w:lang w:eastAsia="ru-RU"/>
        </w:rPr>
        <w:t>иммунокомплексных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-антителами (реже с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Иммунокомплексные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к развитию атопической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31.Поражения при и</w:t>
      </w:r>
      <w:r w:rsidR="0071640C" w:rsidRPr="004525CB">
        <w:rPr>
          <w:rFonts w:ascii="Times New Roman" w:eastAsia="Times New Roman" w:hAnsi="Times New Roman" w:cs="Times New Roman"/>
          <w:b/>
          <w:iCs/>
          <w:sz w:val="28"/>
          <w:szCs w:val="28"/>
          <w:lang w:eastAsia="ru-RU"/>
        </w:rPr>
        <w:t xml:space="preserve">ммунокомплексных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Артюса)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только местный (феномен Артюса)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32. Иммунокомплексные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30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09AF"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(преципитиногена);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результате реакции образуется агглютинат;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преципитиногенов.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исключающая цитопатическое действие вируса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проводят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после перенесенной токсикоинфекции;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50. Укажите методику постановки реакция кольцепреципитации Асколи: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агаре, вносят раствор антигена и преципитирующей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узкую пробирку с преципитирующей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полистирольный планшет вносится сыворотка и эритроцитарный диагностикум;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гаптенами?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полугаптены?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гетероантигены?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иммунодоминантные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авидность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гибридома?</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Как работает трехклеточная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происходит процесс инактивации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механизмы образования аутоантител?</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Причины аутоиммунизации?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такое атопии?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6C635A">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6C635A">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3 Человека укусила незнакомая собака. Должен ли он обратиться в травмпункт?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Человека укусила незнакомая собака. Должен ли он обратиться в травмпункт?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одногруппная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18 ВИЧ- инфицированный человек, находившийся в безмикробных условиях и принимавший иммуностимуляторы, умер от развившейся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аденогипофиза. Эозинофильные (ацидофильные) клетки синтезируют соматотропин и лактин, базофильные клетки - адренокортикотропин, тиреотропин, гонадотропины (фолликулостимулирующий и лютеинизирующий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гиперпродукцией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Лангерганса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21. Карликовый рост, инфантилизм и измененный обмен веществ объясняются резко уменьшенным или вообще прекращенным синтезом гормонов аденогипофиза. Основными функциями соматотропного гормона (гормона роста) являются усиление биосинтеза РНК и белков, стимуляция глюконеогенеза,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22. Внешний вид больной, изменения со стороны крови объясняются повышением синтеза и секреции АКТГ, который вызывает увеличение продукции глюко- и минералокортикоидов,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23 Вследствие черепно-мозговой травмы у больной нарушен синтез АДГ (вазопрессина). Кроме него в нейрогипофизе выделяется окситоцин, стимулирующий гладкую мускулатуру матки. АДГ в больших количествах оказывает прессорный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нейрогипофиза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гонадолиберин (гонадотропин-рилизинг-фактор),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тропных гормонов посредством высвобождающих факторов — либеринов (рилизинг-факторов).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глюкокортикоидов (болезнь Аддисона, бронзовая болезнь). В клубочковой зоне коры надпочечников синтезируются альдостерон и дезоксикортикостерон — минералокортикоиды, влияющие на минеральный обмен в пучковой зоне — гидрокортизон (кортизол), кортизон, кортикостерон — глюкокортикоиды в сетчатой зоне - андрогены, эстрогены, прогестерон - половые гормоны. Тяжелое шокоподобное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26. Минералокортикоиды участвуют в регуляции обмена натрия и калия. Гиперминералокортикоидемия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гиперволемию, артериальную гипертонию, усиление отека тканей, возникающего при воспалении, а также некоторые другие его проявления. Поэтому минералокортикоиды называют провоспалительными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27 В результате резкой недостаточности щитовидной железы у больной развился кретинизм. Все клинические признаки объясняются тем, что гормоны тироксин и трийодтиронин оказывают стимулирующее действие на энергетический обмен. Действие гормонов осуществляется путем непосредственной стимуляции процессов митохондрального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28. B результате субтотальной резекции щитовидной железы у больной резко понизились синтез и секреция йодосодержащих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трийодтиронин и тиреокальцитонин — кальцийсберегающий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29. У больной развился эндемический зоб вследствие недостатка йода в продуктах питания, а также избыток пищи, богатой струмогеструмогенами (капуста), под влиянием которых уменьшаются включение йода в щитовидную железу и биосинтез тиреоидных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30. В данном случае имеет место диффузный токсический зоб (болезнь Грейвса-Базедова).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гликогенолиза, липолиза, дезаминирования.</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тощаковый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лютеинизирующего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33 У больного лейкоцитоз, эозинофилия. Основная роль эозинофилов — oбeзвреживание и разрушение токсинов белкового происхождения, чужеродных белков, комплексов антиген-антитело. Обладают способностью к фагоцитозу. Эозинофилы фагоцитируют гранулы базофилов и тучных клеток, которые содержат много гистамина. Вырабатывают фермент гистаминазу,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34. В анализе крови больного лейкопения. Лейкоцитарная формула сдвинута вправо. Отсутствуют палочкоядерные, резко снижено количество сегментоядерных гранулоцитов, лимфоцитоз, моноцитоз.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лимфолейкоз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Взаимодействие клеток в иммунном ответе. Трехклеточная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Иммунодефицитные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Иммунокоррекция. Виды и способы иммунокоррекции.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Гиперчувствительность немедленного типа (анафилаксия, атопии,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Средства иммунокоррекции. Эубиотики, использование для иммунокоррекции.</w:t>
      </w:r>
      <w:r w:rsidRPr="004525CB">
        <w:rPr>
          <w:rFonts w:ascii="Times New Roman" w:eastAsia="Times New Roman" w:hAnsi="Times New Roman" w:cs="Times New Roman"/>
          <w:spacing w:val="-1"/>
          <w:sz w:val="28"/>
          <w:szCs w:val="28"/>
          <w:lang w:eastAsia="ru-RU"/>
        </w:rPr>
        <w:t xml:space="preserve"> Применение эубиотиков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механизмы переключения биосинтеза классов иммуноглобулинов. Соматическое гипермутирование.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контакт и интерлейкиновые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Реакция отторжения трансплантанта.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r w:rsidRPr="004525CB">
        <w:rPr>
          <w:rFonts w:ascii="Times New Roman" w:eastAsia="Times New Roman" w:hAnsi="Times New Roman" w:cs="Times New Roman"/>
          <w:sz w:val="28"/>
          <w:szCs w:val="28"/>
          <w:lang w:eastAsia="ru-RU"/>
        </w:rPr>
        <w:t>иммунокоррекция.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5. и т.д</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C635A">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6C635A">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C635A">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6C635A">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47" w:rsidRDefault="00817C47">
      <w:pPr>
        <w:spacing w:after="0" w:line="240" w:lineRule="auto"/>
      </w:pPr>
      <w:r>
        <w:separator/>
      </w:r>
    </w:p>
  </w:endnote>
  <w:endnote w:type="continuationSeparator" w:id="0">
    <w:p w:rsidR="00817C47" w:rsidRDefault="0081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D13F01" w:rsidRDefault="00D13F01">
        <w:pPr>
          <w:pStyle w:val="ac"/>
          <w:jc w:val="center"/>
        </w:pPr>
        <w:r>
          <w:fldChar w:fldCharType="begin"/>
        </w:r>
        <w:r>
          <w:instrText>PAGE   \* MERGEFORMAT</w:instrText>
        </w:r>
        <w:r>
          <w:fldChar w:fldCharType="separate"/>
        </w:r>
        <w:r w:rsidR="00207500">
          <w:rPr>
            <w:noProof/>
          </w:rPr>
          <w:t>2</w:t>
        </w:r>
        <w:r>
          <w:fldChar w:fldCharType="end"/>
        </w:r>
      </w:p>
    </w:sdtContent>
  </w:sdt>
  <w:p w:rsidR="00D13F01" w:rsidRDefault="00D13F0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47" w:rsidRDefault="00817C47">
      <w:pPr>
        <w:spacing w:after="0" w:line="240" w:lineRule="auto"/>
      </w:pPr>
      <w:r>
        <w:separator/>
      </w:r>
    </w:p>
  </w:footnote>
  <w:footnote w:type="continuationSeparator" w:id="0">
    <w:p w:rsidR="00817C47" w:rsidRDefault="0081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15:restartNumberingAfterBreak="0">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15:restartNumberingAfterBreak="0">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15:restartNumberingAfterBreak="0">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07500"/>
    <w:rsid w:val="00287E88"/>
    <w:rsid w:val="003154EF"/>
    <w:rsid w:val="00376B26"/>
    <w:rsid w:val="003A4D7B"/>
    <w:rsid w:val="00411272"/>
    <w:rsid w:val="004525CB"/>
    <w:rsid w:val="004A2133"/>
    <w:rsid w:val="004E0695"/>
    <w:rsid w:val="004E69CB"/>
    <w:rsid w:val="005008FA"/>
    <w:rsid w:val="00500952"/>
    <w:rsid w:val="005A6F9D"/>
    <w:rsid w:val="005C5F13"/>
    <w:rsid w:val="005C5FB1"/>
    <w:rsid w:val="005D53F1"/>
    <w:rsid w:val="005F3649"/>
    <w:rsid w:val="006D63A3"/>
    <w:rsid w:val="006F47CC"/>
    <w:rsid w:val="00702BB4"/>
    <w:rsid w:val="00713375"/>
    <w:rsid w:val="0071640C"/>
    <w:rsid w:val="00727456"/>
    <w:rsid w:val="0078396A"/>
    <w:rsid w:val="007D7A0D"/>
    <w:rsid w:val="00817C47"/>
    <w:rsid w:val="00834CF7"/>
    <w:rsid w:val="0086223D"/>
    <w:rsid w:val="00872944"/>
    <w:rsid w:val="0088415E"/>
    <w:rsid w:val="008B6D26"/>
    <w:rsid w:val="008D3226"/>
    <w:rsid w:val="0097736F"/>
    <w:rsid w:val="00987E50"/>
    <w:rsid w:val="009A023E"/>
    <w:rsid w:val="00A4711C"/>
    <w:rsid w:val="00A76630"/>
    <w:rsid w:val="00AD17E3"/>
    <w:rsid w:val="00B73255"/>
    <w:rsid w:val="00B94DFA"/>
    <w:rsid w:val="00C4461E"/>
    <w:rsid w:val="00C67234"/>
    <w:rsid w:val="00CF73D5"/>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7BB2F-0B24-45B8-A30F-F3265C93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899096866">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2541837">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i.yandex.ru/dict/bse/article/00003/487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ict/bse/article/00003/58000.htm" TargetMode="External"/><Relationship Id="rId5" Type="http://schemas.openxmlformats.org/officeDocument/2006/relationships/webSettings" Target="webSettings.xml"/><Relationship Id="rId10" Type="http://schemas.openxmlformats.org/officeDocument/2006/relationships/hyperlink" Target="http://slovari.yandex.ru/dict/bse/article/00003/48700.htm" TargetMode="External"/><Relationship Id="rId4" Type="http://schemas.openxmlformats.org/officeDocument/2006/relationships/settings" Target="settings.xml"/><Relationship Id="rId9" Type="http://schemas.openxmlformats.org/officeDocument/2006/relationships/hyperlink" Target="http://slovari.yandex.ru/dict/bse/article/00003/58000.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B980-3514-4326-BC34-CC89C999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104</Pages>
  <Words>20930</Words>
  <Characters>119301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26</cp:revision>
  <cp:lastPrinted>2019-10-09T09:24:00Z</cp:lastPrinted>
  <dcterms:created xsi:type="dcterms:W3CDTF">2017-09-05T09:29:00Z</dcterms:created>
  <dcterms:modified xsi:type="dcterms:W3CDTF">2022-03-16T15:56:00Z</dcterms:modified>
</cp:coreProperties>
</file>