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Кафедра истории и теории государства и права</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чная</w:t>
      </w:r>
      <w:r>
        <w:rPr>
          <w:rFonts w:ascii="Times New Roman" w:eastAsia="Calibri" w:hAnsi="Times New Roman" w:cs="Times New Roman"/>
          <w:i/>
          <w:sz w:val="24"/>
          <w:szCs w:val="24"/>
          <w:u w:val="single"/>
        </w:rPr>
        <w:t>, 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CA5BAD"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616B0A">
        <w:rPr>
          <w:rFonts w:ascii="Times New Roman" w:eastAsia="Calibri" w:hAnsi="Times New Roman" w:cs="Times New Roman"/>
          <w:sz w:val="24"/>
          <w:szCs w:val="24"/>
          <w:u w:val="single"/>
        </w:rPr>
        <w:t>истории и теории государства и права</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2B28A8" w:rsidRPr="00616B0A">
        <w:rPr>
          <w:rFonts w:ascii="Times New Roman" w:eastAsia="Calibri" w:hAnsi="Times New Roman" w:cs="Times New Roman"/>
          <w:sz w:val="24"/>
          <w:szCs w:val="24"/>
          <w:u w:val="single"/>
        </w:rPr>
        <w:t xml:space="preserve">9 от 13.03.2017 </w:t>
      </w:r>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1 Государственная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 Государство – это :</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орудие насилия класса над классом;</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форма организации всего общества, характеризуемая признаками;</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аппарат.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Что такое разделение властей:</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наличие законодательной, исполнительной и судебной ветвей власти;</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 Когда исторически появилась государственная служба?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существовала всегда;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 Чиновник – это:</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обладающее чином;</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должностные лица в государстве;</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ругательство.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российского законодательства;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международного договора;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международные правила ратифицируются федеральным законодателем.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Конституция Российской Федерации;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федеральные законы и иные нормативные правовые акты;</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 (Основной Закон)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Законы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 Кодекс этики государственного служащего:</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кормления;</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местничество;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титул;</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наследство.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 Государственная служба возникла: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вместе с государством;</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определённом этапе развития государства;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догосударственный период;</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современном этапе развития государства.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конституционного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теории государства и права.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 Что такое государственная служба?</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совокупность органов государственной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название федерального органа исполнительной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 Государственная служба РФ обеспечивает исполнение полномочий:</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перечисленное в п. «А» и муниципальных должностей.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ничем;</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комплексом отличий, в основе которых лежат представления о</w:t>
      </w:r>
      <w:r w:rsidRPr="00AD6F0F">
        <w:rPr>
          <w:rFonts w:ascii="Times New Roman" w:eastAsia="Times New Roman" w:hAnsi="Times New Roman" w:cs="Times New Roman"/>
          <w:b/>
          <w:sz w:val="24"/>
          <w:szCs w:val="24"/>
        </w:rPr>
        <w:t xml:space="preserve"> </w:t>
      </w:r>
      <w:r w:rsidRPr="00AD6F0F">
        <w:rPr>
          <w:rFonts w:ascii="Times New Roman" w:eastAsia="Times New Roman" w:hAnsi="Times New Roman" w:cs="Times New Roman"/>
          <w:sz w:val="24"/>
          <w:szCs w:val="24"/>
        </w:rPr>
        <w:t>публичной и частной сферах в государстве.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 Может ли существовать государственная служба субъекта Федерации?</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субъект РФ – это часть государства;</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РФ это так.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Если очень хочется.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относятся;</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разные термины с разным содержанием;</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1.19. Должностное лицо – это:</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замещающее должность в государственном аппарате;</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выполняющее организационные функции властного содержания;</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1.20. Что такое государственная должность?</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часть компетенции государственного органа;</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позиция в штатном расписании.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коммерческие услуги;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договорные обязательства;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обслуживание граждан на некоммерческой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государственная гражданская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военная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правоохранительная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законодательной;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исполнительной;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судебной.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приоритет прав и свобод человека и гражданина;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стабильность гражданской службы;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Реестр должностей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штатное расписание государственного органа.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ведущей;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старшей;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младшей.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действительный 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Советник государственной гражданской службы РФ 1,2 или 3 класса.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служебную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государственную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когда как.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1.33 Что такое служебный контракт:</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разновидность трудового договора;</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договор подряда на выполнение должностных обязанностей;</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1.34 Какова длительность испытательного срока?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зависимости от служебного контракта;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мес до 1 года;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до 6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должностной инструкции;</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должностном регламенте;</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сформировать рабочее место;</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1.37 Какую продолжительность имеет ненормированный рабочий день?</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сколько нужно нанимателю;</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с предварительным уведомлением представителя нанимателя;</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1.39 Что такое акт управления?</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письменный документ.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письменно;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устно;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не может находиться на государственной службе;</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150 до 200 %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90 до 120 %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60 % должностного оклада.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1.43 Для чего проводится аттестация государственного служащего?</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повышения квалификации;</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постоянной занятости государственного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четырех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помощник (советник);</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специалист;</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обеспечивающий специалист.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указом Губернатора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постановлением Правительства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группы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разряда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занимаемой должности.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1.50 Соответствующая запись о присвоении классного чина вносится:</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 личное дело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и трудовую книжку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включаются в должностной регламент гражданского служащего;</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если желает карьерного роста;</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данный вопрос входит в компетенцию представителя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1.54 Гражданский служащий данное ему неправомерное поручение:</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может, так как является руководителем;</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есть желание.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состоит в данной политической партии;</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совершать поступки, порочащие его честь и достоинство;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проявлять корректность в обращении с гражданами;</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борьба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интересный конфликт;</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кумовство;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полномочий.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1.62 Личной заинтересованностью гражданского служащего называется:</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он должен перевести его на другую должность;</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по своему усмотрению;</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ежеквартально, не позднее 30 числа месяца,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числа месяца, следующего за отчётным годом;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апреля года,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квартала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конфиденциального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коммерческой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служебной тайны.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1.66 На гражданскую службу вправе поступать:</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1.67 Существенными условиями служебного контракта являются:</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дата начала исполнения должностных обязанностей;</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испытание при поступлении на гражданскую службу;</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1.68 Могут ли быть изменены условия служебного контракта?</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в устной форме;</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и в письменной форме.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требованию руководителя;</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согласованию с руководителем;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должен.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пяти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шести мес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шести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1.71 Служебный контракт заключается на основе: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письменного заявления претендента на государственную должность;</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нормы законодательства о государственной службе;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трудового договора.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1.72 Служебный контракт вступает в силу:</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его подписания сторонами;</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написания заявления о поступлении на государственную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необходимо дождаться окончания срока испытания;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любое время по собственному желанию;</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1.74 Под членами семьи гражданского служащего понимаются:</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и несовершеннолетние дети;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срочного служебного контракта;</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 на неопределенный срок;</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наличии стажа государственной службы более пяти лет.</w:t>
      </w:r>
    </w:p>
    <w:p w:rsidR="00AD6F0F" w:rsidRPr="00AD6F0F" w:rsidRDefault="00AD6F0F" w:rsidP="004E537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гражданского служащего;</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получения образования по программе 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две недели;</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один месяц;</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два месяца;</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6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устной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письменной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посредством телефонной, телеграфной связи и электронной почты.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наличия заболевания;</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привлечения к административной ответственности;</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возбуждения уголовного дела в отношении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трудового договора;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служебного контракта;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объявление благодарности с выплатой единовременного поощрения;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знаками отличия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орденами и медалями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и личное дело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административное правонарушение.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1.86 Дисциплинарный проступок – это … :</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служебной дисциплины;</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внутреннего трудового распорядка;</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неисполнение или ненадлежащее исполнение должностных обязанностей;</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отказ от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1.88 За каждый дисциплинарный проступок может быть применено:</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несколько дисциплинарных взысканий;</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одно дисциплинарное взыскание;</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дисциплинарное взыскание и мера административной ответственности;</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1.89 Перед применением дисциплинарного взыскания проводится:</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проверка на соответствие занимаемой должности;</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переквалификация сотрудника.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1.90 Дисциплинарное взыскание не может быть применено позднее:</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одного месяца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трех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шести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девяти месяцев со дня совершения дисциплинарного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1.91 Гражданский служащий вправе обжаловать дисциплинарное взыскание:</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 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профсоюзный орган.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1.93 Срок для проведения служебной проверки составляет:</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две недели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и 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1.95 Индивидуальные служебные споры рассматриваются:</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судом;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 судом.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индивидуальный служебный спор;</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1.97 Прохождение военной службы осуществляется:</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иностранными 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 иностранными гражданами.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государственные гражданские 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военнослужащие;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сотрудники органов внутренних дел;</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«А»;</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«Б»;</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«В»;</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«Г»;</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категории «Д».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заболевание;</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тяжелое состояние здоровья отца, матери;</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погодные условия;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нахождение на учебе в образовательном учреждении.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проходящих военную службу;</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отбывающих наказание в виде лишения свободы;</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постоянно проживающих за пределами Российской Федерации;</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1.102 Срок военной службы для военнослужащих составляет:</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месяцев;</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прошел военную службу в другом государстве;</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двух и более детей;</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ребенка-инвалида в возрасте до трех лет;</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обучается по очной форме обучения.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поступил на службу в органы внутренних дел.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два раза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квартал;</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января по 15 марта и с 1 октября по 31 января;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апреля по 15 июля и с 1 октября по 31 декабря;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сентября по 15 октября с 1 ноября по 31 декабря.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нарушением служебной дисциплины;</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грубым 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поощрения;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исправления поведения сотрудника органов внутренних дел;</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дисциплинарного воздействия;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морального стимулирования.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1.119 Отсрочка от призыва на военную службу предоставляется гражданам:</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шести месяцев;</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одного года;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полного выздоровления;</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на срок, определяемой медицинской комиссией.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освобождение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не годным к военной службе;</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отсрочку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ограниченно годным к военной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1.122 Призыву на военную службу подлежат: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женского пола в возрасте от 18 до 27 лет;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1.123 Призыв граждан на военную службу осуществляется на основании:</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Президента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постановлений Правительства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приказ Министерства обороны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высших должностных лиц субъектов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приказ военных комиссариатов.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дисциплинарную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или административную;</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 административную.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дисциплинарную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административную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прокурор;</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адвокат;</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допускаться родственники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никто не может допускаться.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(военной)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1.128 Военнослужащий, привлекаемый к дисциплинарной ответственности:</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доказывать свою невиновность;</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доказывать свою невиновность.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исполнением своих должностных обязанностей;</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нарушением Устава Вооруженных Сил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административной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1.131 Статус военнослужащих есть совокупность</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1.132 К военнослужащим не относятся: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прапорщики и мичманы;</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1.133 К членам семей военнослужащих относятся:</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свободное от исполнения обязанностей военной службы;</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с разрешения командования.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1.135 Участие военнослужащих в забастовках:</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запрещаются;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 в исключительных случаях.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1.136 Создание религиозных объединений в воинской части:</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32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36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38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40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1.141 Денежное содержание гражданского служащего состоит из:</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должностного оклада и оклада за классный чин;</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оклада за классный чин и дополнительных выплат.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1.142 Оплата труда сотрудника органов внутренних дел называется:</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заработной платой;</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содержанием;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довольствием;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материальным стимулом.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1.143 Коллективные служебные споры в органах внутренних дел:</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 с участием профсоюзной организации;</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преследуются по закону.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1.148 В стаж гражданской службы включаются периоды замещения:</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шести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восьми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года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 18 месяцев поступления на службу в органы внутренних дел.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1.150 Сотруднику органов внутренних дел ежегодно предоставляется основной отпуск продолжительностью:</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2 Муниципальная служба</w:t>
      </w: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 Основные задачи муниципальной службы – это: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разработка и принятие устава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прав и свобод человека на территории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подготовка, принятие, контроль решений органов МСУ</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защита прав и законных интересов МО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 Муниципальным служащим является:</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аппарата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архитектор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бухгалтер избирательной комиссии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МУП</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 Условия для поступления на муниципальную службу</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возраст 21 год</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владение государственным языком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Муниципальные должности устанавливаются:</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 муниципальной службе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МО</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 Обязательные документы для поступления на муниципальную службу:</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свидетельство о рождении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справка о составе семьи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характеристика с предыдущего места работы</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медицинская справка.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2.6. Испытание на муниципальную службу устанавливается на срок:</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трех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шести до одного года</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трех 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2.7. Квалификационные разряды присваиваются муниципальным служащим по результатам</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аттестации</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квалификационного экзамена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должностных проверок</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повышения квалификации.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общеслужебным правам и обязанностям</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личным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правам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2.9. Муниципальный служащий имеет право</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продвижение по службе</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депутатом законодательного (представительного) органа</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принимать участие в забастовках</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членом партии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2.10. Мерами дисциплинарной ответственности служащих является: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дисквалификация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предупреждение</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увольнение.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выполняет;</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государственно-властные полномочия.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2.12 Что такое муниципальная служба:</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2.13 Нанимателем для муниципального служащего является: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 государственной власти субъекта РФ;</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муниципальное образование;</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глава муниципального образования;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население, проживающее на территории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аннулируется;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требует подтверждения в виде сдачи квалификационного экзамена.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2.15 Должности муниципальной службы устанавливаются:</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высшего должностного лица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законами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2.16 На какое количество групп подразделяются должности муниципальной службы:</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квалификационным требованиям;</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уровню профессионального образования;</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стажу муниципальной службы;</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инструкцией.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2.20 Уровень квалификации муниципальный служащий: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поддерживать, это его право, а не обязанность;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подтверждает наличием диплома о высшем образовании.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2.21 Муниципальный служащий данное ему неправомерное поручение:</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исполнять по своему усмотрению.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 влекущим вынесение выговора;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административным правонарушением, влекущим наложение административного штрафа;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уголовным преступлением, влекущим лишением свободы:</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2.24 На муниципальную службу вправе поступать:</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служебного контракта;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издания муниципального правового 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договор;</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контракт.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муниципальный служащий;</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и подчиненный.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 не проводится;</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обязательном порядке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проводится аттестация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2.29 Аттестация муниципального служащего проводится:</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2.30 Аттестации не подлежат муниципальные служащие:</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более одного года;</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достигшие возраста 50 лет;</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беременные женщины;</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42 часа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зависит от объёма работы.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10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20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особые заслуги;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высокие достижения в трудовой деятельности;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ненормированный служебный день.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2.37 Оплата труда муниципального служащего называется:</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заработная плата;</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содержание;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финансовое обеспечение;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довольствие;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материальное стимулирование.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субъекта;</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органами местного самоуправления;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2.39 За совершение дисциплинарного проступка к муниципальному служащему могут быть применены следующие меры дисциплинарного воздействия:</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понижение в должности,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направлять на обучение переобучение муниципальных служащих;</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2.41 Личное дело муниципального служащего хранится в течение:</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 и местного бюджета.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шести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установлено требований к уровню образования и стажу.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предъявления неправомерных, незаслуженных обвинений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2.46 Кодексом этики и служебного поведения муниципальных служащих города Бузулука Оренбургской области содержит требования относительно:</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поведения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этики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внешнего вида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2.47 К основным принципам муниципальной службы не относятся:</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стабильность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внепартийность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 и гражданами;</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единоначалие и субординация (подчиненность) на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2.48 К основным принципам муниципальной службы не относятся:</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профессионализм и компетентность муниципальных служащих;</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приоритет прав и свобод человека и гражданина;</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правовая и социальная защищенность муниципальных 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муниципальной службы;</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2.50 Не являются муниципальными служащими:</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депутаты, члены выборных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члены избирательных комиссий муниципальных образований;</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616B0A" w:rsidRDefault="00AD6F0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правовое положение сотрудников Следственного комитета;</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w:t>
      </w:r>
      <w:r w:rsidR="00C3521F" w:rsidRPr="00616B0A">
        <w:rPr>
          <w:rFonts w:ascii="Times New Roman" w:eastAsia="Calibri" w:hAnsi="Times New Roman" w:cs="Times New Roman"/>
          <w:sz w:val="24"/>
          <w:szCs w:val="24"/>
        </w:rPr>
        <w:lastRenderedPageBreak/>
        <w:t>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w:t>
      </w:r>
      <w:r w:rsidRPr="00616B0A">
        <w:rPr>
          <w:rFonts w:ascii="Times New Roman" w:eastAsia="Times New Roman" w:hAnsi="Times New Roman" w:cs="Times New Roman"/>
          <w:sz w:val="24"/>
          <w:szCs w:val="24"/>
        </w:rPr>
        <w:lastRenderedPageBreak/>
        <w:t>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w:t>
      </w:r>
      <w:r w:rsidRPr="00616B0A">
        <w:rPr>
          <w:rFonts w:ascii="Times New Roman" w:eastAsia="Times New Roman" w:hAnsi="Times New Roman" w:cs="Times New Roman"/>
          <w:sz w:val="24"/>
          <w:szCs w:val="24"/>
        </w:rPr>
        <w:lastRenderedPageBreak/>
        <w:t>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 xml:space="preserve">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w:t>
      </w:r>
      <w:r w:rsidR="00196986" w:rsidRPr="00616B0A">
        <w:rPr>
          <w:rFonts w:ascii="Times New Roman" w:eastAsia="Times New Roman" w:hAnsi="Times New Roman" w:cs="Times New Roman"/>
          <w:sz w:val="24"/>
          <w:szCs w:val="24"/>
        </w:rPr>
        <w:lastRenderedPageBreak/>
        <w:t>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 xml:space="preserve">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w:t>
      </w:r>
      <w:r w:rsidR="00E57E9C" w:rsidRPr="00616B0A">
        <w:rPr>
          <w:rFonts w:ascii="Times New Roman" w:hAnsi="Times New Roman" w:cs="Times New Roman"/>
          <w:sz w:val="24"/>
          <w:szCs w:val="24"/>
        </w:rPr>
        <w:lastRenderedPageBreak/>
        <w:t>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обязана ли инспектор З. подать «сигнал» тревоги о действиях инспектора А.?</w:t>
      </w:r>
    </w:p>
    <w:p w:rsidR="00F04B09"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уважение к людям;</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r w:rsidRPr="00616B0A">
        <w:rPr>
          <w:rFonts w:ascii="Times New Roman" w:eastAsia="Times New Roman" w:hAnsi="Times New Roman" w:cs="Times New Roman"/>
          <w:sz w:val="24"/>
          <w:szCs w:val="24"/>
        </w:rPr>
        <w:lastRenderedPageBreak/>
        <w:t xml:space="preserve">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6276C9">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AD6F0F" w:rsidRDefault="00AD6F0F"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w:t>
      </w:r>
      <w:r w:rsidRPr="00AD6F0F">
        <w:rPr>
          <w:rFonts w:ascii="Times New Roman" w:eastAsia="Times New Roman" w:hAnsi="Times New Roman" w:cs="Times New Roman"/>
          <w:sz w:val="24"/>
          <w:szCs w:val="24"/>
        </w:rPr>
        <w:lastRenderedPageBreak/>
        <w:t>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AD6F0F" w:rsidRPr="00616B0A" w:rsidRDefault="00AD6F0F"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Индивидуальный служебный спор: понятие, органы по рассмотрению, порядок рассмотрения.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 xml:space="preserve">не способен </w:t>
            </w:r>
            <w:r w:rsidRPr="001001D0">
              <w:rPr>
                <w:sz w:val="24"/>
                <w:szCs w:val="24"/>
              </w:rPr>
              <w:lastRenderedPageBreak/>
              <w:t>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xml:space="preserve">. Умение синтезировать и </w:t>
            </w:r>
            <w:r w:rsidRPr="001001D0">
              <w:rPr>
                <w:sz w:val="24"/>
                <w:szCs w:val="24"/>
              </w:rPr>
              <w:lastRenderedPageBreak/>
              <w:t>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lastRenderedPageBreak/>
              <w:t xml:space="preserve">Практическое задание правильно выполнено; </w:t>
            </w:r>
            <w:r w:rsidR="00545E6A" w:rsidRPr="00545E6A">
              <w:rPr>
                <w:sz w:val="24"/>
                <w:szCs w:val="24"/>
              </w:rPr>
              <w:t xml:space="preserve">продемонстрировано умение синтезировать и обобщать теоретический материал; </w:t>
            </w:r>
            <w:r w:rsidR="00545E6A" w:rsidRPr="00545E6A">
              <w:rPr>
                <w:sz w:val="24"/>
                <w:szCs w:val="24"/>
              </w:rPr>
              <w:lastRenderedPageBreak/>
              <w:t>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lastRenderedPageBreak/>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9A3CE5">
        <w:rPr>
          <w:rFonts w:ascii="Times New Roman" w:eastAsia="Times New Roman" w:hAnsi="Times New Roman" w:cs="Times New Roman"/>
          <w:sz w:val="24"/>
          <w:szCs w:val="24"/>
        </w:rPr>
        <w:lastRenderedPageBreak/>
        <w:t>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7F" w:rsidRDefault="004E537F" w:rsidP="00A13401">
      <w:pPr>
        <w:spacing w:after="0" w:line="240" w:lineRule="auto"/>
      </w:pPr>
      <w:r>
        <w:separator/>
      </w:r>
    </w:p>
  </w:endnote>
  <w:endnote w:type="continuationSeparator" w:id="0">
    <w:p w:rsidR="004E537F" w:rsidRDefault="004E537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7F" w:rsidRDefault="004E537F" w:rsidP="00A13401">
      <w:pPr>
        <w:spacing w:after="0" w:line="240" w:lineRule="auto"/>
      </w:pPr>
      <w:r>
        <w:separator/>
      </w:r>
    </w:p>
  </w:footnote>
  <w:footnote w:type="continuationSeparator" w:id="0">
    <w:p w:rsidR="004E537F" w:rsidRDefault="004E537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E537F"/>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AD6F0F"/>
    <w:rsid w:val="00B02AC3"/>
    <w:rsid w:val="00B15DF3"/>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0AC9-7B5A-476C-9257-3A39AB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D6F0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AD6F0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D6F0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AD6F0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AD6F0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AD6F0F"/>
  </w:style>
  <w:style w:type="paragraph" w:styleId="afb">
    <w:name w:val="header"/>
    <w:basedOn w:val="a"/>
    <w:link w:val="afc"/>
    <w:uiPriority w:val="99"/>
    <w:unhideWhenUsed/>
    <w:rsid w:val="00AD6F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D6F0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AD6F0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DAAF-2B57-474C-854A-B9ABDB99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1</Pages>
  <Words>18593</Words>
  <Characters>105983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112</cp:revision>
  <cp:lastPrinted>2019-10-30T06:12:00Z</cp:lastPrinted>
  <dcterms:created xsi:type="dcterms:W3CDTF">2017-09-06T06:05:00Z</dcterms:created>
  <dcterms:modified xsi:type="dcterms:W3CDTF">2019-12-02T05:01:00Z</dcterms:modified>
</cp:coreProperties>
</file>