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BA0DA8" w:rsidRPr="005655CE" w:rsidRDefault="00BA0DA8" w:rsidP="00BA0DA8">
      <w:pPr>
        <w:pStyle w:val="ReportHead"/>
        <w:suppressAutoHyphens/>
        <w:rPr>
          <w:i/>
          <w:szCs w:val="28"/>
          <w:u w:val="single"/>
        </w:rPr>
      </w:pPr>
      <w:r w:rsidRPr="005655CE">
        <w:rPr>
          <w:i/>
          <w:szCs w:val="28"/>
          <w:u w:val="single"/>
        </w:rPr>
        <w:t>08.03.01 Строительство</w:t>
      </w:r>
    </w:p>
    <w:p w:rsidR="00BA0DA8" w:rsidRPr="005655CE" w:rsidRDefault="00BA0DA8" w:rsidP="00BA0DA8">
      <w:pPr>
        <w:pStyle w:val="ReportHead"/>
        <w:suppressAutoHyphens/>
        <w:rPr>
          <w:szCs w:val="28"/>
          <w:vertAlign w:val="superscript"/>
        </w:rPr>
      </w:pPr>
      <w:r w:rsidRPr="005655CE">
        <w:rPr>
          <w:szCs w:val="28"/>
          <w:vertAlign w:val="superscript"/>
        </w:rPr>
        <w:t>(код и наименование направления подготовки)</w:t>
      </w:r>
    </w:p>
    <w:p w:rsidR="00BA0DA8" w:rsidRPr="005655CE" w:rsidRDefault="00BA0DA8" w:rsidP="00BA0DA8">
      <w:pPr>
        <w:pStyle w:val="ReportHead"/>
        <w:suppressAutoHyphens/>
        <w:rPr>
          <w:i/>
          <w:szCs w:val="28"/>
          <w:u w:val="single"/>
        </w:rPr>
      </w:pPr>
      <w:r w:rsidRPr="005655CE">
        <w:rPr>
          <w:i/>
          <w:szCs w:val="28"/>
          <w:u w:val="single"/>
        </w:rPr>
        <w:t>Промышленное и гражданское строительство</w:t>
      </w:r>
    </w:p>
    <w:p w:rsidR="00EB5646" w:rsidRPr="005655CE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5655CE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00405E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62E564" wp14:editId="2F06E6F3">
            <wp:simplePos x="0" y="0"/>
            <wp:positionH relativeFrom="margin">
              <wp:posOffset>-673100</wp:posOffset>
            </wp:positionH>
            <wp:positionV relativeFrom="paragraph">
              <wp:posOffset>203835</wp:posOffset>
            </wp:positionV>
            <wp:extent cx="6614160" cy="2638425"/>
            <wp:effectExtent l="0" t="0" r="0" b="9525"/>
            <wp:wrapThrough wrapText="bothSides">
              <wp:wrapPolygon edited="0">
                <wp:start x="21600" y="21600"/>
                <wp:lineTo x="21600" y="78"/>
                <wp:lineTo x="75" y="78"/>
                <wp:lineTo x="75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66141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00405E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00405E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00405E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00405E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00405E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0" w:name="_Toc17758087"/>
      <w:r w:rsidRPr="00610F0E">
        <w:rPr>
          <w:sz w:val="32"/>
        </w:rPr>
        <w:lastRenderedPageBreak/>
        <w:t>1 Пояснительная записка</w:t>
      </w:r>
      <w:bookmarkEnd w:id="0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</w:t>
      </w:r>
      <w:bookmarkStart w:id="1" w:name="_GoBack"/>
      <w:bookmarkEnd w:id="1"/>
      <w:r w:rsidRPr="00065DEF">
        <w:rPr>
          <w:sz w:val="28"/>
        </w:rPr>
        <w:t>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00405E">
          <w:rPr>
            <w:rFonts w:ascii="Times New Roman" w:hAnsi="Times New Roman" w:cs="Times New Roman"/>
            <w:noProof/>
          </w:rPr>
          <w:t>4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405E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61A3-DEB2-49A4-A1EB-B47BCA4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11</cp:revision>
  <cp:lastPrinted>2023-09-04T16:52:00Z</cp:lastPrinted>
  <dcterms:created xsi:type="dcterms:W3CDTF">2023-08-18T06:29:00Z</dcterms:created>
  <dcterms:modified xsi:type="dcterms:W3CDTF">2023-09-11T10:44:00Z</dcterms:modified>
</cp:coreProperties>
</file>