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D52360">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14FE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52360">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114FEA" w:rsidRPr="00114FEA">
        <w:rPr>
          <w:rFonts w:ascii="Times New Roman" w:eastAsia="Calibri" w:hAnsi="Times New Roman" w:cs="Times New Roman"/>
          <w:sz w:val="24"/>
          <w:szCs w:val="24"/>
          <w:u w:val="single"/>
        </w:rPr>
        <w:t xml:space="preserve">7 от 20.02.2019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D52360" w:rsidRPr="00D3181F" w:rsidRDefault="00D52360"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5"/>
        <w:gridCol w:w="5149"/>
        <w:gridCol w:w="2167"/>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153DD3">
        <w:trPr>
          <w:trHeight w:val="1005"/>
        </w:trPr>
        <w:tc>
          <w:tcPr>
            <w:tcW w:w="1084" w:type="pct"/>
            <w:vMerge w:val="restart"/>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153DD3">
        <w:trPr>
          <w:trHeight w:val="306"/>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970033" w:rsidP="00153D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153DD3" w:rsidRPr="00D3181F" w:rsidTr="00153DD3">
        <w:trPr>
          <w:trHeight w:val="1980"/>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970033" w:rsidRDefault="00970033" w:rsidP="004D547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 / С.1</w:t>
            </w:r>
          </w:p>
        </w:tc>
      </w:tr>
      <w:tr w:rsidR="00970033" w:rsidRPr="00D3181F" w:rsidTr="00153DD3">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w:t>
            </w:r>
            <w:r w:rsidRPr="00D3181F">
              <w:rPr>
                <w:rFonts w:ascii="Times New Roman" w:eastAsia="Times New Roman" w:hAnsi="Times New Roman" w:cs="Times New Roman"/>
                <w:sz w:val="24"/>
                <w:szCs w:val="24"/>
                <w:lang w:eastAsia="ru-RU"/>
              </w:rPr>
              <w:lastRenderedPageBreak/>
              <w:t>принципы, нормы международного права и международные договоры Российской Федерации</w:t>
            </w: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lastRenderedPageBreak/>
              <w:t xml:space="preserve">- анализировать 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575EC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r w:rsidR="00970033" w:rsidRPr="00D3181F" w:rsidTr="00153DD3">
        <w:trPr>
          <w:trHeight w:val="3694"/>
        </w:trPr>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обеспечивать соблюдение норм финансового законодательства, в том числе при осуществлении финансового контроля</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финансово-правовой сфере;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w:t>
      </w:r>
      <w:r w:rsidRPr="00844869">
        <w:rPr>
          <w:rFonts w:ascii="Times New Roman" w:eastAsia="Times New Roman" w:hAnsi="Times New Roman" w:cs="Times New Roman"/>
          <w:sz w:val="24"/>
          <w:szCs w:val="24"/>
        </w:rPr>
        <w:lastRenderedPageBreak/>
        <w:t xml:space="preserve">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lastRenderedPageBreak/>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w:t>
      </w:r>
      <w:r w:rsidR="00847513" w:rsidRPr="00D3181F">
        <w:rPr>
          <w:rFonts w:ascii="Times New Roman" w:eastAsia="Times New Roman" w:hAnsi="Times New Roman" w:cs="Times New Roman"/>
          <w:sz w:val="24"/>
          <w:szCs w:val="24"/>
        </w:rPr>
        <w:lastRenderedPageBreak/>
        <w:t>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w:t>
      </w:r>
      <w:r w:rsidRPr="00D3181F">
        <w:rPr>
          <w:rFonts w:ascii="Times New Roman" w:eastAsia="Times New Roman" w:hAnsi="Times New Roman" w:cs="Times New Roman"/>
          <w:sz w:val="24"/>
          <w:szCs w:val="24"/>
        </w:rPr>
        <w:lastRenderedPageBreak/>
        <w:t>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w:t>
      </w:r>
      <w:r w:rsidRPr="00D3181F">
        <w:rPr>
          <w:rFonts w:ascii="Times New Roman" w:eastAsia="Times New Roman" w:hAnsi="Times New Roman" w:cs="Times New Roman"/>
          <w:sz w:val="24"/>
          <w:szCs w:val="24"/>
        </w:rPr>
        <w:lastRenderedPageBreak/>
        <w:t>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w:t>
      </w:r>
      <w:r w:rsidRPr="00D3181F">
        <w:rPr>
          <w:rFonts w:ascii="Times New Roman" w:eastAsia="Times New Roman" w:hAnsi="Times New Roman" w:cs="Times New Roman"/>
          <w:sz w:val="24"/>
          <w:szCs w:val="24"/>
        </w:rPr>
        <w:lastRenderedPageBreak/>
        <w:t xml:space="preserve">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w:t>
      </w:r>
      <w:r w:rsidRPr="00D3181F">
        <w:rPr>
          <w:rFonts w:ascii="Times New Roman" w:eastAsia="Times New Roman" w:hAnsi="Times New Roman" w:cs="Times New Roman"/>
          <w:sz w:val="24"/>
          <w:szCs w:val="24"/>
        </w:rPr>
        <w:lastRenderedPageBreak/>
        <w:t>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lastRenderedPageBreak/>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lastRenderedPageBreak/>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w:t>
      </w:r>
      <w:r w:rsidR="00D417A8" w:rsidRPr="00D3181F">
        <w:rPr>
          <w:rFonts w:ascii="Times New Roman" w:eastAsia="Times New Roman" w:hAnsi="Times New Roman" w:cs="Times New Roman"/>
          <w:sz w:val="24"/>
          <w:szCs w:val="24"/>
        </w:rPr>
        <w:lastRenderedPageBreak/>
        <w:t xml:space="preserve">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437624">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437624" w:rsidTr="00437624">
        <w:tc>
          <w:tcPr>
            <w:tcW w:w="3123" w:type="dxa"/>
            <w:tcBorders>
              <w:top w:val="single" w:sz="4" w:space="0" w:color="auto"/>
              <w:left w:val="single" w:sz="4" w:space="0" w:color="auto"/>
              <w:bottom w:val="single" w:sz="4" w:space="0" w:color="auto"/>
              <w:right w:val="single" w:sz="4" w:space="0" w:color="auto"/>
            </w:tcBorders>
            <w:shd w:val="clear" w:color="auto" w:fill="FFFFFF"/>
          </w:tcPr>
          <w:p w:rsidR="00437624" w:rsidRPr="00EF542A" w:rsidRDefault="00437624" w:rsidP="00437624">
            <w:pPr>
              <w:pStyle w:val="60"/>
              <w:shd w:val="clear" w:color="auto" w:fill="auto"/>
              <w:spacing w:line="240" w:lineRule="auto"/>
              <w:ind w:firstLine="0"/>
              <w:jc w:val="left"/>
              <w:rPr>
                <w:sz w:val="24"/>
                <w:szCs w:val="24"/>
              </w:rPr>
            </w:pPr>
            <w:bookmarkStart w:id="0" w:name="_GoBack" w:colFirst="2" w:colLast="2"/>
            <w:r w:rsidRPr="00EF542A">
              <w:rPr>
                <w:sz w:val="24"/>
                <w:szCs w:val="24"/>
              </w:rPr>
              <w:t>Отлично</w:t>
            </w:r>
          </w:p>
        </w:tc>
        <w:tc>
          <w:tcPr>
            <w:tcW w:w="3157" w:type="dxa"/>
            <w:vMerge w:val="restart"/>
          </w:tcPr>
          <w:p w:rsidR="00437624" w:rsidRPr="00EF542A" w:rsidRDefault="00437624" w:rsidP="00437624">
            <w:pPr>
              <w:jc w:val="both"/>
              <w:rPr>
                <w:sz w:val="24"/>
                <w:szCs w:val="24"/>
              </w:rPr>
            </w:pPr>
            <w:r w:rsidRPr="00EF542A">
              <w:rPr>
                <w:sz w:val="24"/>
                <w:szCs w:val="24"/>
              </w:rPr>
              <w:t>1.</w:t>
            </w:r>
            <w:r w:rsidRPr="00EF542A">
              <w:rPr>
                <w:sz w:val="24"/>
                <w:szCs w:val="24"/>
              </w:rPr>
              <w:tab/>
              <w:t>Полнота выполнения тестовых заданий;</w:t>
            </w:r>
          </w:p>
          <w:p w:rsidR="00437624" w:rsidRPr="00EF542A" w:rsidRDefault="00437624" w:rsidP="00437624">
            <w:pPr>
              <w:jc w:val="both"/>
              <w:rPr>
                <w:sz w:val="24"/>
                <w:szCs w:val="24"/>
              </w:rPr>
            </w:pPr>
            <w:r w:rsidRPr="00EF542A">
              <w:rPr>
                <w:sz w:val="24"/>
                <w:szCs w:val="24"/>
              </w:rPr>
              <w:t>2.</w:t>
            </w:r>
            <w:r w:rsidRPr="00EF542A">
              <w:rPr>
                <w:sz w:val="24"/>
                <w:szCs w:val="24"/>
              </w:rPr>
              <w:tab/>
              <w:t>Своевременность выполнения;</w:t>
            </w:r>
          </w:p>
          <w:p w:rsidR="00437624" w:rsidRPr="00EF542A" w:rsidRDefault="00437624" w:rsidP="00437624">
            <w:pPr>
              <w:jc w:val="both"/>
              <w:rPr>
                <w:sz w:val="24"/>
                <w:szCs w:val="24"/>
              </w:rPr>
            </w:pPr>
            <w:r w:rsidRPr="00EF542A">
              <w:rPr>
                <w:sz w:val="24"/>
                <w:szCs w:val="24"/>
              </w:rPr>
              <w:t>3.</w:t>
            </w:r>
            <w:r w:rsidRPr="00EF542A">
              <w:rPr>
                <w:sz w:val="24"/>
                <w:szCs w:val="24"/>
              </w:rPr>
              <w:tab/>
              <w:t>Правильность ответов на вопросы;</w:t>
            </w:r>
          </w:p>
          <w:p w:rsidR="00437624" w:rsidRDefault="00437624" w:rsidP="00437624">
            <w:pPr>
              <w:jc w:val="both"/>
              <w:rPr>
                <w:sz w:val="24"/>
                <w:szCs w:val="24"/>
              </w:rPr>
            </w:pPr>
            <w:r w:rsidRPr="00EF542A">
              <w:rPr>
                <w:sz w:val="24"/>
                <w:szCs w:val="24"/>
              </w:rPr>
              <w:t>4.</w:t>
            </w:r>
            <w:r w:rsidRPr="00EF542A">
              <w:rPr>
                <w:sz w:val="24"/>
                <w:szCs w:val="24"/>
              </w:rPr>
              <w:tab/>
              <w:t>Самостоятельность тестирования.</w:t>
            </w:r>
          </w:p>
        </w:tc>
        <w:tc>
          <w:tcPr>
            <w:tcW w:w="3065" w:type="dxa"/>
            <w:tcBorders>
              <w:top w:val="single" w:sz="4" w:space="0" w:color="auto"/>
              <w:left w:val="single" w:sz="4" w:space="0" w:color="auto"/>
              <w:bottom w:val="single" w:sz="4" w:space="0" w:color="auto"/>
              <w:right w:val="single" w:sz="4" w:space="0" w:color="auto"/>
            </w:tcBorders>
          </w:tcPr>
          <w:p w:rsidR="00437624" w:rsidRDefault="00437624" w:rsidP="00437624">
            <w:pPr>
              <w:jc w:val="both"/>
              <w:rPr>
                <w:sz w:val="24"/>
                <w:szCs w:val="24"/>
              </w:rPr>
            </w:pPr>
            <w:r>
              <w:rPr>
                <w:rFonts w:eastAsia="Calibri"/>
                <w:spacing w:val="-1"/>
                <w:sz w:val="24"/>
                <w:szCs w:val="24"/>
              </w:rPr>
              <w:t>Процент правильных ответов составляет 90 % и более</w:t>
            </w:r>
          </w:p>
        </w:tc>
      </w:tr>
      <w:tr w:rsidR="00437624" w:rsidTr="00437624">
        <w:tc>
          <w:tcPr>
            <w:tcW w:w="3123" w:type="dxa"/>
            <w:tcBorders>
              <w:top w:val="single" w:sz="4" w:space="0" w:color="auto"/>
              <w:left w:val="single" w:sz="4" w:space="0" w:color="auto"/>
              <w:bottom w:val="single" w:sz="4" w:space="0" w:color="auto"/>
              <w:right w:val="single" w:sz="4" w:space="0" w:color="auto"/>
            </w:tcBorders>
            <w:shd w:val="clear" w:color="auto" w:fill="FFFFFF"/>
          </w:tcPr>
          <w:p w:rsidR="00437624" w:rsidRPr="00EF542A" w:rsidRDefault="00437624" w:rsidP="00437624">
            <w:pPr>
              <w:pStyle w:val="60"/>
              <w:shd w:val="clear" w:color="auto" w:fill="auto"/>
              <w:spacing w:line="240" w:lineRule="auto"/>
              <w:ind w:firstLine="0"/>
              <w:jc w:val="left"/>
              <w:rPr>
                <w:sz w:val="24"/>
                <w:szCs w:val="24"/>
              </w:rPr>
            </w:pPr>
            <w:r w:rsidRPr="00EF542A">
              <w:rPr>
                <w:sz w:val="24"/>
                <w:szCs w:val="24"/>
              </w:rPr>
              <w:t>Хорошо</w:t>
            </w:r>
          </w:p>
        </w:tc>
        <w:tc>
          <w:tcPr>
            <w:tcW w:w="3157" w:type="dxa"/>
            <w:vMerge/>
          </w:tcPr>
          <w:p w:rsidR="00437624" w:rsidRDefault="00437624" w:rsidP="00437624">
            <w:pPr>
              <w:jc w:val="both"/>
              <w:rPr>
                <w:sz w:val="24"/>
                <w:szCs w:val="24"/>
              </w:rPr>
            </w:pPr>
          </w:p>
        </w:tc>
        <w:tc>
          <w:tcPr>
            <w:tcW w:w="3065" w:type="dxa"/>
            <w:tcBorders>
              <w:top w:val="single" w:sz="4" w:space="0" w:color="auto"/>
              <w:left w:val="single" w:sz="4" w:space="0" w:color="auto"/>
              <w:bottom w:val="single" w:sz="4" w:space="0" w:color="auto"/>
              <w:right w:val="single" w:sz="4" w:space="0" w:color="auto"/>
            </w:tcBorders>
          </w:tcPr>
          <w:p w:rsidR="00437624" w:rsidRDefault="00437624" w:rsidP="00437624">
            <w:pPr>
              <w:jc w:val="both"/>
              <w:rPr>
                <w:sz w:val="24"/>
                <w:szCs w:val="24"/>
              </w:rPr>
            </w:pPr>
            <w:r>
              <w:rPr>
                <w:rFonts w:eastAsia="Calibri"/>
                <w:spacing w:val="-1"/>
                <w:sz w:val="24"/>
                <w:szCs w:val="24"/>
              </w:rPr>
              <w:t>Процент правильных ответов составляет от 76 % до 89 %</w:t>
            </w:r>
          </w:p>
        </w:tc>
      </w:tr>
      <w:tr w:rsidR="00437624" w:rsidTr="00437624">
        <w:tc>
          <w:tcPr>
            <w:tcW w:w="3123" w:type="dxa"/>
            <w:tcBorders>
              <w:top w:val="single" w:sz="4" w:space="0" w:color="auto"/>
              <w:left w:val="single" w:sz="4" w:space="0" w:color="auto"/>
              <w:bottom w:val="single" w:sz="4" w:space="0" w:color="auto"/>
              <w:right w:val="single" w:sz="4" w:space="0" w:color="auto"/>
            </w:tcBorders>
            <w:shd w:val="clear" w:color="auto" w:fill="FFFFFF"/>
          </w:tcPr>
          <w:p w:rsidR="00437624" w:rsidRPr="00EF542A" w:rsidRDefault="00437624" w:rsidP="00437624">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57" w:type="dxa"/>
            <w:vMerge/>
          </w:tcPr>
          <w:p w:rsidR="00437624" w:rsidRDefault="00437624" w:rsidP="00437624">
            <w:pPr>
              <w:jc w:val="both"/>
              <w:rPr>
                <w:sz w:val="24"/>
                <w:szCs w:val="24"/>
              </w:rPr>
            </w:pPr>
          </w:p>
        </w:tc>
        <w:tc>
          <w:tcPr>
            <w:tcW w:w="3065" w:type="dxa"/>
            <w:tcBorders>
              <w:top w:val="single" w:sz="4" w:space="0" w:color="auto"/>
              <w:left w:val="single" w:sz="4" w:space="0" w:color="auto"/>
              <w:bottom w:val="single" w:sz="4" w:space="0" w:color="auto"/>
              <w:right w:val="single" w:sz="4" w:space="0" w:color="auto"/>
            </w:tcBorders>
          </w:tcPr>
          <w:p w:rsidR="00437624" w:rsidRDefault="00437624" w:rsidP="00437624">
            <w:pPr>
              <w:jc w:val="both"/>
              <w:rPr>
                <w:sz w:val="24"/>
                <w:szCs w:val="24"/>
              </w:rPr>
            </w:pPr>
            <w:r>
              <w:rPr>
                <w:rFonts w:eastAsia="Calibri"/>
                <w:spacing w:val="-1"/>
                <w:sz w:val="24"/>
                <w:szCs w:val="24"/>
              </w:rPr>
              <w:t>Процент правильных ответов составляет от 50 % до 75 %</w:t>
            </w:r>
          </w:p>
        </w:tc>
      </w:tr>
      <w:tr w:rsidR="00437624" w:rsidTr="00437624">
        <w:tc>
          <w:tcPr>
            <w:tcW w:w="3123" w:type="dxa"/>
            <w:tcBorders>
              <w:top w:val="single" w:sz="4" w:space="0" w:color="auto"/>
              <w:left w:val="single" w:sz="4" w:space="0" w:color="auto"/>
              <w:bottom w:val="single" w:sz="4" w:space="0" w:color="auto"/>
              <w:right w:val="single" w:sz="4" w:space="0" w:color="auto"/>
            </w:tcBorders>
            <w:shd w:val="clear" w:color="auto" w:fill="FFFFFF"/>
          </w:tcPr>
          <w:p w:rsidR="00437624" w:rsidRPr="00EF542A" w:rsidRDefault="00437624" w:rsidP="00437624">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57" w:type="dxa"/>
            <w:vMerge/>
          </w:tcPr>
          <w:p w:rsidR="00437624" w:rsidRDefault="00437624" w:rsidP="00437624">
            <w:pPr>
              <w:jc w:val="both"/>
              <w:rPr>
                <w:sz w:val="24"/>
                <w:szCs w:val="24"/>
              </w:rPr>
            </w:pPr>
          </w:p>
        </w:tc>
        <w:tc>
          <w:tcPr>
            <w:tcW w:w="3065" w:type="dxa"/>
            <w:tcBorders>
              <w:top w:val="single" w:sz="4" w:space="0" w:color="auto"/>
              <w:left w:val="single" w:sz="4" w:space="0" w:color="auto"/>
              <w:bottom w:val="single" w:sz="4" w:space="0" w:color="auto"/>
              <w:right w:val="single" w:sz="4" w:space="0" w:color="auto"/>
            </w:tcBorders>
          </w:tcPr>
          <w:p w:rsidR="00437624" w:rsidRDefault="00437624" w:rsidP="00437624">
            <w:pPr>
              <w:jc w:val="both"/>
              <w:rPr>
                <w:sz w:val="24"/>
                <w:szCs w:val="24"/>
              </w:rPr>
            </w:pPr>
            <w:r>
              <w:rPr>
                <w:rFonts w:eastAsia="Calibri"/>
                <w:spacing w:val="-1"/>
                <w:sz w:val="24"/>
                <w:szCs w:val="24"/>
              </w:rPr>
              <w:t>Процент правильных ответов составляет менее 50 %</w:t>
            </w:r>
          </w:p>
        </w:tc>
      </w:tr>
      <w:bookmarkEnd w:id="0"/>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lastRenderedPageBreak/>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lastRenderedPageBreak/>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w:t>
            </w:r>
            <w:r w:rsidRPr="00575EC0">
              <w:rPr>
                <w:sz w:val="24"/>
                <w:szCs w:val="24"/>
              </w:rPr>
              <w:lastRenderedPageBreak/>
              <w:t xml:space="preserve">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lastRenderedPageBreak/>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 xml:space="preserve">При выполнении практического задания студент продемонстрировал недостаточный уровень владения умениями и </w:t>
            </w:r>
            <w:r w:rsidRPr="00842EDB">
              <w:rPr>
                <w:sz w:val="24"/>
                <w:szCs w:val="24"/>
              </w:rPr>
              <w:lastRenderedPageBreak/>
              <w:t>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lastRenderedPageBreak/>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0"/>
        <w:gridCol w:w="3121"/>
        <w:gridCol w:w="3114"/>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 xml:space="preserve">должна начинаться с изучения учебной и дополнительной литературы по </w:t>
      </w:r>
      <w:r w:rsidRPr="009A3CE5">
        <w:rPr>
          <w:rFonts w:ascii="Times New Roman" w:eastAsia="Times New Roman" w:hAnsi="Times New Roman" w:cs="Times New Roman"/>
          <w:sz w:val="24"/>
          <w:szCs w:val="24"/>
        </w:rPr>
        <w:lastRenderedPageBreak/>
        <w:t>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Pr="00624FF9">
        <w:t xml:space="preserve"> </w:t>
      </w:r>
      <w:r w:rsidRPr="00624FF9">
        <w:rPr>
          <w:rFonts w:ascii="Times New Roman" w:eastAsia="Times New Roman" w:hAnsi="Times New Roman" w:cs="Times New Roman"/>
          <w:sz w:val="24"/>
          <w:szCs w:val="24"/>
        </w:rPr>
        <w:t>Рубежный контроль проходит в форме написания контрольной работы</w:t>
      </w:r>
      <w:r>
        <w:rPr>
          <w:rFonts w:ascii="Times New Roman" w:eastAsia="Times New Roman" w:hAnsi="Times New Roman" w:cs="Times New Roman"/>
          <w:sz w:val="24"/>
          <w:szCs w:val="24"/>
        </w:rPr>
        <w:t xml:space="preserve"> либо в форме тестирования. </w:t>
      </w:r>
      <w:r w:rsidRPr="00624FF9">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213CDD"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24FF9" w:rsidRDefault="00624FF9"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BBC" w:rsidRDefault="00A93BBC" w:rsidP="00A13401">
      <w:pPr>
        <w:spacing w:after="0" w:line="240" w:lineRule="auto"/>
      </w:pPr>
      <w:r>
        <w:separator/>
      </w:r>
    </w:p>
  </w:endnote>
  <w:endnote w:type="continuationSeparator" w:id="0">
    <w:p w:rsidR="00A93BBC" w:rsidRDefault="00A93BBC"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BBC" w:rsidRDefault="00A93BBC" w:rsidP="00A13401">
      <w:pPr>
        <w:spacing w:after="0" w:line="240" w:lineRule="auto"/>
      </w:pPr>
      <w:r>
        <w:separator/>
      </w:r>
    </w:p>
  </w:footnote>
  <w:footnote w:type="continuationSeparator" w:id="0">
    <w:p w:rsidR="00A93BBC" w:rsidRDefault="00A93BBC" w:rsidP="00A13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14FEA"/>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91F5B"/>
    <w:rsid w:val="003E0AFF"/>
    <w:rsid w:val="003F1976"/>
    <w:rsid w:val="00400405"/>
    <w:rsid w:val="00411A49"/>
    <w:rsid w:val="004140F5"/>
    <w:rsid w:val="00437624"/>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4869"/>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93BBC"/>
    <w:rsid w:val="00AA1760"/>
    <w:rsid w:val="00AD6B91"/>
    <w:rsid w:val="00AF740A"/>
    <w:rsid w:val="00B02AC3"/>
    <w:rsid w:val="00B33AA4"/>
    <w:rsid w:val="00B46635"/>
    <w:rsid w:val="00B579F1"/>
    <w:rsid w:val="00B60E99"/>
    <w:rsid w:val="00B60FF8"/>
    <w:rsid w:val="00B61AF9"/>
    <w:rsid w:val="00B66D18"/>
    <w:rsid w:val="00B90AF7"/>
    <w:rsid w:val="00BA02ED"/>
    <w:rsid w:val="00BE443D"/>
    <w:rsid w:val="00C155A1"/>
    <w:rsid w:val="00C215AE"/>
    <w:rsid w:val="00C343E1"/>
    <w:rsid w:val="00C37027"/>
    <w:rsid w:val="00C62DE4"/>
    <w:rsid w:val="00C62F0F"/>
    <w:rsid w:val="00C831AA"/>
    <w:rsid w:val="00C848F7"/>
    <w:rsid w:val="00CA12D4"/>
    <w:rsid w:val="00CB22D7"/>
    <w:rsid w:val="00CB38AF"/>
    <w:rsid w:val="00CD6EC5"/>
    <w:rsid w:val="00CF0A19"/>
    <w:rsid w:val="00CF71CE"/>
    <w:rsid w:val="00D00F00"/>
    <w:rsid w:val="00D070AD"/>
    <w:rsid w:val="00D202AB"/>
    <w:rsid w:val="00D3181F"/>
    <w:rsid w:val="00D417A8"/>
    <w:rsid w:val="00D52360"/>
    <w:rsid w:val="00D8393A"/>
    <w:rsid w:val="00DB304F"/>
    <w:rsid w:val="00DB4F07"/>
    <w:rsid w:val="00DB6D92"/>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Заголовок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46DD-9A3E-44DA-ACF8-ECC1E7E2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19307</Words>
  <Characters>110055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интернет</cp:lastModifiedBy>
  <cp:revision>9</cp:revision>
  <cp:lastPrinted>2019-11-27T04:36:00Z</cp:lastPrinted>
  <dcterms:created xsi:type="dcterms:W3CDTF">2019-11-27T04:31:00Z</dcterms:created>
  <dcterms:modified xsi:type="dcterms:W3CDTF">2022-05-24T10:37:00Z</dcterms:modified>
</cp:coreProperties>
</file>