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6D1B02">
        <w:rPr>
          <w:rFonts w:ascii="Times New Roman" w:hAnsi="Times New Roman" w:cs="Times New Roman"/>
          <w:i/>
          <w:sz w:val="28"/>
          <w:szCs w:val="28"/>
        </w:rPr>
        <w:t>Техническая эксплуатация и ремонта автомобилей</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6D1B02" w:rsidRPr="006D1B02">
        <w:rPr>
          <w:rFonts w:ascii="Times New Roman" w:hAnsi="Times New Roman" w:cs="Times New Roman"/>
          <w:b/>
          <w:sz w:val="28"/>
        </w:rPr>
        <w:t>История развития специального транспортно-технологического оборудования в нефтегазодобывающей отрасли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2161A" w:rsidP="009A3C30">
      <w:pPr>
        <w:pStyle w:val="ReportHead"/>
        <w:suppressAutoHyphens/>
        <w:rPr>
          <w:i/>
          <w:u w:val="single"/>
        </w:rPr>
      </w:pPr>
      <w:bookmarkStart w:id="0" w:name="BookmarkWhereDelChr13"/>
      <w:bookmarkEnd w:id="0"/>
      <w:r>
        <w:rPr>
          <w:i/>
          <w:u w:val="single"/>
        </w:rPr>
        <w:t>О</w:t>
      </w:r>
      <w:r w:rsidR="009A3C30" w:rsidRPr="009A3C30">
        <w:rPr>
          <w:i/>
          <w:u w:val="single"/>
        </w:rPr>
        <w:t>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3469FD">
        <w:rPr>
          <w:rFonts w:ascii="Times New Roman" w:hAnsi="Times New Roman" w:cs="Times New Roman"/>
          <w:sz w:val="28"/>
          <w:szCs w:val="28"/>
        </w:rPr>
        <w:t>6</w:t>
      </w:r>
    </w:p>
    <w:p w:rsidR="001A4297" w:rsidRPr="006D1B02" w:rsidRDefault="001A4297" w:rsidP="00350AD1">
      <w:pPr>
        <w:pStyle w:val="11"/>
        <w:rPr>
          <w:bCs/>
          <w:sz w:val="28"/>
          <w:szCs w:val="28"/>
        </w:rPr>
      </w:pPr>
    </w:p>
    <w:p w:rsidR="009A3C30" w:rsidRPr="009A3C30" w:rsidRDefault="006D1B02" w:rsidP="009A3C30">
      <w:pPr>
        <w:tabs>
          <w:tab w:val="left" w:pos="851"/>
          <w:tab w:val="left" w:pos="1560"/>
          <w:tab w:val="left" w:pos="4110"/>
        </w:tabs>
        <w:spacing w:after="0" w:line="240" w:lineRule="auto"/>
        <w:jc w:val="both"/>
        <w:rPr>
          <w:rFonts w:ascii="Times New Roman" w:hAnsi="Times New Roman"/>
          <w:sz w:val="28"/>
          <w:szCs w:val="28"/>
        </w:rPr>
      </w:pPr>
      <w:r w:rsidRPr="006D1B02">
        <w:rPr>
          <w:rFonts w:ascii="Times New Roman" w:hAnsi="Times New Roman" w:cs="Times New Roman"/>
          <w:sz w:val="28"/>
        </w:rPr>
        <w:t>История развития специального транспортно-технологического оборудования в нефтегазодобывающей отрасли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3469FD">
        <w:rPr>
          <w:rFonts w:ascii="Times New Roman" w:hAnsi="Times New Roman"/>
          <w:sz w:val="28"/>
          <w:szCs w:val="28"/>
        </w:rPr>
        <w:t>6</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3469FD">
        <w:rPr>
          <w:rFonts w:ascii="Times New Roman" w:eastAsia="Times New Roman" w:hAnsi="Times New Roman"/>
          <w:sz w:val="28"/>
          <w:szCs w:val="28"/>
        </w:rPr>
        <w:t>6</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6D1B02" w:rsidRPr="006D1B02" w:rsidRDefault="006D1B02" w:rsidP="006D1B02">
      <w:pPr>
        <w:pStyle w:val="ReportMain"/>
        <w:suppressAutoHyphens/>
        <w:ind w:firstLine="709"/>
        <w:jc w:val="both"/>
        <w:rPr>
          <w:sz w:val="28"/>
        </w:rPr>
      </w:pPr>
      <w:r w:rsidRPr="006D1B02">
        <w:rPr>
          <w:b/>
          <w:sz w:val="28"/>
        </w:rPr>
        <w:t xml:space="preserve">Цель (цели) </w:t>
      </w:r>
      <w:r w:rsidRPr="006D1B02">
        <w:rPr>
          <w:sz w:val="28"/>
        </w:rPr>
        <w:t>освоения дисциплины: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-освоение основных методологических закономерностей становления и развития специального транспортно-технологического оборудования;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освоение основных научно-технических проблем и перспективы развития систем поддержания работоспособности специального транспортно-технологического оборудования.</w:t>
      </w:r>
    </w:p>
    <w:p w:rsidR="006D1B02" w:rsidRPr="006D1B02" w:rsidRDefault="006D1B02" w:rsidP="006D1B02">
      <w:pPr>
        <w:pStyle w:val="ReportMain"/>
        <w:suppressAutoHyphens/>
        <w:ind w:firstLine="709"/>
        <w:jc w:val="both"/>
        <w:rPr>
          <w:b/>
          <w:sz w:val="28"/>
        </w:rPr>
      </w:pPr>
      <w:r w:rsidRPr="006D1B02">
        <w:rPr>
          <w:b/>
          <w:sz w:val="28"/>
        </w:rPr>
        <w:t xml:space="preserve">Задачи: </w:t>
      </w:r>
    </w:p>
    <w:p w:rsidR="006D1B02" w:rsidRPr="006D1B02" w:rsidRDefault="006D1B02" w:rsidP="006D1B02">
      <w:pPr>
        <w:pStyle w:val="ReportMain"/>
        <w:suppressAutoHyphens/>
        <w:ind w:firstLine="709"/>
        <w:jc w:val="both"/>
        <w:rPr>
          <w:sz w:val="28"/>
        </w:rPr>
      </w:pPr>
      <w:r w:rsidRPr="006D1B02">
        <w:rPr>
          <w:b/>
          <w:sz w:val="28"/>
        </w:rPr>
        <w:t xml:space="preserve">- </w:t>
      </w:r>
      <w:r w:rsidRPr="006D1B02">
        <w:rPr>
          <w:sz w:val="28"/>
        </w:rPr>
        <w:t xml:space="preserve">анализировать роль и место </w:t>
      </w:r>
      <w:r w:rsidRPr="006D1B02">
        <w:rPr>
          <w:sz w:val="28"/>
          <w:szCs w:val="28"/>
        </w:rPr>
        <w:t>специального транспортно-технологического оборудования</w:t>
      </w:r>
      <w:r w:rsidRPr="006D1B02">
        <w:rPr>
          <w:sz w:val="28"/>
        </w:rPr>
        <w:t xml:space="preserve"> в коммуникационной системе современного общества;</w:t>
      </w:r>
    </w:p>
    <w:p w:rsidR="006D1B02" w:rsidRPr="006D1B02" w:rsidRDefault="006D1B02" w:rsidP="006D1B02">
      <w:pPr>
        <w:pStyle w:val="ReportMain"/>
        <w:suppressAutoHyphens/>
        <w:ind w:firstLine="709"/>
        <w:jc w:val="both"/>
        <w:rPr>
          <w:b/>
          <w:sz w:val="28"/>
        </w:rPr>
      </w:pPr>
      <w:r w:rsidRPr="006D1B02">
        <w:rPr>
          <w:sz w:val="28"/>
        </w:rPr>
        <w:t xml:space="preserve">- анализировать социально-значимые проблемы и процессы при анализе аспектов и тенденций развития современного </w:t>
      </w:r>
      <w:r w:rsidRPr="006D1B02">
        <w:rPr>
          <w:sz w:val="28"/>
          <w:szCs w:val="28"/>
        </w:rPr>
        <w:t>специального транспортно-технологического оборудования;</w:t>
      </w:r>
    </w:p>
    <w:p w:rsidR="006D1B02" w:rsidRPr="006D1B02" w:rsidRDefault="006D1B02" w:rsidP="006D1B02">
      <w:pPr>
        <w:pStyle w:val="ReportMain"/>
        <w:suppressAutoHyphens/>
        <w:ind w:firstLine="709"/>
        <w:jc w:val="both"/>
        <w:rPr>
          <w:b/>
        </w:rPr>
      </w:pPr>
      <w:r w:rsidRPr="006D1B02">
        <w:rPr>
          <w:sz w:val="28"/>
          <w:szCs w:val="28"/>
        </w:rPr>
        <w:t>-анализ состояния, технологии и уровня организации производства, с учетом социальных, экологических, экономических последствий.</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lastRenderedPageBreak/>
        <w:t>Тематика практических занятий</w:t>
      </w: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3D3F31" w:rsidRDefault="00DE046A" w:rsidP="006D1B02">
      <w:pPr>
        <w:pStyle w:val="a5"/>
        <w:widowControl w:val="0"/>
        <w:tabs>
          <w:tab w:val="left" w:pos="284"/>
          <w:tab w:val="left" w:pos="1134"/>
        </w:tabs>
        <w:overflowPunct w:val="0"/>
        <w:autoSpaceDE w:val="0"/>
        <w:autoSpaceDN w:val="0"/>
        <w:adjustRightInd w:val="0"/>
        <w:ind w:left="0" w:firstLine="721"/>
        <w:jc w:val="both"/>
        <w:rPr>
          <w:b/>
          <w:kern w:val="28"/>
          <w:szCs w:val="28"/>
        </w:rPr>
      </w:pPr>
      <w:r w:rsidRPr="00DE046A">
        <w:rPr>
          <w:rFonts w:cs="Times New Roman"/>
          <w:b/>
          <w:szCs w:val="24"/>
        </w:rPr>
        <w:t xml:space="preserve">Тема 1. </w:t>
      </w:r>
      <w:r w:rsidR="006D1B02" w:rsidRPr="006D1B02">
        <w:rPr>
          <w:b/>
          <w:szCs w:val="28"/>
        </w:rPr>
        <w:t>История развития специального транспортно-технологического оборудования</w:t>
      </w:r>
      <w:r w:rsidR="006D1B02" w:rsidRPr="006D1B02">
        <w:rPr>
          <w:b/>
          <w:kern w:val="28"/>
          <w:szCs w:val="28"/>
        </w:rPr>
        <w:t>.</w:t>
      </w:r>
    </w:p>
    <w:p w:rsidR="006D1B02" w:rsidRDefault="006D1B02" w:rsidP="006D1B02">
      <w:pPr>
        <w:pStyle w:val="a5"/>
        <w:widowControl w:val="0"/>
        <w:tabs>
          <w:tab w:val="left" w:pos="284"/>
          <w:tab w:val="left" w:pos="1134"/>
        </w:tabs>
        <w:overflowPunct w:val="0"/>
        <w:autoSpaceDE w:val="0"/>
        <w:autoSpaceDN w:val="0"/>
        <w:adjustRightInd w:val="0"/>
        <w:ind w:left="0" w:firstLine="721"/>
        <w:jc w:val="both"/>
        <w:rPr>
          <w:sz w:val="24"/>
          <w:szCs w:val="24"/>
        </w:rPr>
      </w:pPr>
    </w:p>
    <w:p w:rsidR="00DE046A" w:rsidRPr="00587B18"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u w:val="single"/>
        </w:rPr>
      </w:pPr>
      <w:r w:rsidRPr="00587B18">
        <w:rPr>
          <w:rFonts w:ascii="Times New Roman" w:hAnsi="Times New Roman" w:cs="Times New Roman"/>
          <w:sz w:val="28"/>
          <w:szCs w:val="24"/>
          <w:u w:val="single"/>
        </w:rPr>
        <w:t>Основой материал.</w:t>
      </w:r>
    </w:p>
    <w:p w:rsidR="00DE046A" w:rsidRPr="00DE046A"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Развитие отечественного автомобилестроения можно проследить по отдельным его этапам, характеризующимся все возрастающим количественным ростом выпуска автомобилей и переходом на все более высокие ступени в отношении совершенства их конструкции.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До революции в России не было своей автомобильной промышленности. Автомобильная промышленность в СССР начала создаваться в первой половине 20-х годов, и период с 1924 по 1930 гг. является </w:t>
      </w:r>
      <w:r w:rsidRPr="006D1B02">
        <w:rPr>
          <w:rFonts w:ascii="Times New Roman" w:hAnsi="Times New Roman" w:cs="Times New Roman"/>
          <w:b/>
          <w:color w:val="000000"/>
          <w:sz w:val="28"/>
          <w:szCs w:val="28"/>
          <w:u w:val="single"/>
        </w:rPr>
        <w:t>первым этапом</w:t>
      </w:r>
      <w:r w:rsidRPr="006D1B02">
        <w:rPr>
          <w:rFonts w:ascii="Times New Roman" w:hAnsi="Times New Roman" w:cs="Times New Roman"/>
          <w:color w:val="000000"/>
          <w:sz w:val="28"/>
          <w:szCs w:val="28"/>
        </w:rPr>
        <w:t xml:space="preserve"> развертывания отечественного автомобилестроения.</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1924 г. Московскими автомобильными мастерскими, переоборудованными в автомобильный завод, был выпущен первый советский грузовой автомобиль АМО-Ф15 грузоподъемностью 1,5 т. С 1924 г. по 1931 г. Московским заводом было построено более 6000 таких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1925 г. Ярославский автомобильный завод, созданный на базе автомобильных мастерских, начал выпуск в небольших количествах грузовых автомобилей Я-3 грузоподъемностью 3 т, а затем, в 1928 г., автомобилей Я-4 грузоподъемностью 3,5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Переломными в области развития автомобилестроения в СССР явились 1930-1932 гг. С этого времени автомобилестроение вступило </w:t>
      </w:r>
      <w:r w:rsidRPr="006D1B02">
        <w:rPr>
          <w:rFonts w:ascii="Times New Roman" w:hAnsi="Times New Roman" w:cs="Times New Roman"/>
          <w:b/>
          <w:color w:val="000000"/>
          <w:sz w:val="28"/>
          <w:szCs w:val="28"/>
          <w:u w:val="single"/>
        </w:rPr>
        <w:t>во второй этап</w:t>
      </w:r>
      <w:r w:rsidRPr="006D1B02">
        <w:rPr>
          <w:rFonts w:ascii="Times New Roman" w:hAnsi="Times New Roman" w:cs="Times New Roman"/>
          <w:color w:val="000000"/>
          <w:sz w:val="28"/>
          <w:szCs w:val="28"/>
        </w:rPr>
        <w:t xml:space="preserve"> и начало развиваться исключительно быстрыми темпами.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1929 г. было принято решение об организации массового производства автомобилей в СССР. При составлении плана первой пятилетки было запроектировано строительство двух автомобильных заводов: в Горьком – производительностью 100 000 автомобилей в год и в Москве – производительностью 25 000 грузовых автомобилей в год. Несмотря на исключительно короткие сроки, установленные для строительства этих заводов, и отсутствие достаточного опыта в этом деле, эта огромная и ответственная задача была успешна разрешена.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1931г. был построен завод АМО, который перешел к выпуску грузовых автомобилей АМО-3, а в 1933 г. после дооборудования завода был начат выпуск грузовых автомобилей ЗИС-5. В 1936 г. завод начал выпускать легковые автомобили ЗИС-101.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январе 1932 г. был пущен автомобильный завод в Горьком (ГАЗ). Основными моделями, которые завод выпускал длительное время, были грузовые автомобили ГАЗ-АА и легковые автомобили ГАЗ-А. С 1936 г. завод перешел к выпуску более совершенного автомобиля ГАЗ-М-1.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Грузовой автомобиль был впоследствии модернизирован и стал выпускаться под маркой ГАЗ-ММ. В 1943 г. был освоен выпуск легкового автомобиля повышенной проходимости ГАЗ-67Б.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Кроме этих двух крупных заводов, был значительно расширен завод в Ярославле (ЯАЗ), приступивший к выпуску грузовых автомобилей ЯГ большой грузоподъемности.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1940 г. новый Московский завод малолитражных автомобилей освоил выпуск легковых автомобилей КИМ-10.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1943 г. новый автозавод на Урале начал выпускать грузовые автомобили УралЗИС-5.</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Автомобильная промышленность </w:t>
      </w:r>
      <w:r w:rsidRPr="006D1B02">
        <w:rPr>
          <w:rFonts w:ascii="Times New Roman" w:hAnsi="Times New Roman" w:cs="Times New Roman"/>
          <w:b/>
          <w:color w:val="000000"/>
          <w:sz w:val="28"/>
          <w:szCs w:val="28"/>
          <w:u w:val="single"/>
        </w:rPr>
        <w:t>во второй период</w:t>
      </w:r>
      <w:r w:rsidRPr="006D1B02">
        <w:rPr>
          <w:rFonts w:ascii="Times New Roman" w:hAnsi="Times New Roman" w:cs="Times New Roman"/>
          <w:color w:val="000000"/>
          <w:sz w:val="28"/>
          <w:szCs w:val="28"/>
        </w:rPr>
        <w:t xml:space="preserve"> своего развития, с 1930 по 1946 г., обеспечила выпуск значительного количества автомобилей. Уже в 1937 г. годовой выпуск автомобилей достиг 200 000.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После окончания Отечественной войны автомобильная промышленность вступила в новый — </w:t>
      </w:r>
      <w:r w:rsidRPr="006D1B02">
        <w:rPr>
          <w:rFonts w:ascii="Times New Roman" w:hAnsi="Times New Roman" w:cs="Times New Roman"/>
          <w:b/>
          <w:color w:val="000000"/>
          <w:sz w:val="28"/>
          <w:szCs w:val="28"/>
          <w:u w:val="single"/>
        </w:rPr>
        <w:t>третий этап своего развития</w:t>
      </w:r>
      <w:r w:rsidRPr="006D1B02">
        <w:rPr>
          <w:rFonts w:ascii="Times New Roman" w:hAnsi="Times New Roman" w:cs="Times New Roman"/>
          <w:color w:val="000000"/>
          <w:sz w:val="28"/>
          <w:szCs w:val="28"/>
        </w:rPr>
        <w:t>.</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1946-1948 гг. автомобильная промышленность, не прекращая выпуска автомобилей, перешла к выпуску новых, более совершенных автомобилей, наиболее полно отвечающим растущим требованиям народного хозяйства.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автомобильный завод в Горьком приступил к выпуску грузовых автомобилей ГАЗ-51 и легковых автомобилей М-20 «Победа», а в 1948 г. – грузовых автомобилей ГАЗ-63 высокой проходимости. В 1950 г. завод приступил к выпуску комфортабельно легкового автомобиля ГАЗ-12 и в 1952 г. – легковых автомобилей ГАЗ-69 высокой проходимости.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1948 г. Московский автозавод перешел к выпуску грузовых автомобилей ЗИС-150 и легковых автомобилей ЗИС-110, а затем освоил производство автобусов ЗИС-154 и ЗИС-155 и автомобилей ЗИС-151 высокой проходимости. В 1955 г. этим заводом был выпущен междугородный автобус ЗИС-127. В 1956 г. Московскому автозаводу было присвоено имя И. А. Лихачёва, и завод начал выпускать автомобили под маркой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1946-1947 гг. Ярославский автозавод перешел к выпуску дизельных автомобилей ЯАЗ-200 большой грузоподъемности (впоследствии МАЗ-200). В 1951 г. завод освоил производство трехосных автомобилей ЯАЗ-210. а несколько позже начал выпуск различных его модификаций, в том числе автомобилей-самосвалов ЯАЗ-210Е и автомобилей-тягачей ЯАЗ-210Д и ЯАЗ-210Г.</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Московский завод малолитражных автомобилей приступил к выпуску легкового автомобиля «Москвич-401».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Выпуск автомобилей был начат также и рядом новых автозаводов, построенных за послевоенные годы.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Минский автозавод в 1947 г. начал выпускать грузовые автомобили МАЗ-200 и автомобили-самосвалы МАЗ-205, а в 1951 г. – автомобили-самосвалы МАЗ-525 особо большой грузоподъемности. Кутаисский автозавод в 1952 г. освоил выпуск автомобилей-самосвалов КАЗ-585Б.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Автомобильный завод, построенный в Ульяновске, приступил в 1956 г. к выпуску автомобилей УАЗ-69 (ГАЗ-69).</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Одновременно с выпуском основной продукции на автозаводах велись работы по совершенствованию конструкции выпускаемых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b/>
          <w:color w:val="000000"/>
          <w:sz w:val="28"/>
          <w:szCs w:val="28"/>
          <w:u w:val="single"/>
        </w:rPr>
        <w:t>1957-1958 г. явились началом нового этапа развития</w:t>
      </w:r>
      <w:r w:rsidRPr="006D1B02">
        <w:rPr>
          <w:rFonts w:ascii="Times New Roman" w:hAnsi="Times New Roman" w:cs="Times New Roman"/>
          <w:color w:val="000000"/>
          <w:sz w:val="28"/>
          <w:szCs w:val="28"/>
        </w:rPr>
        <w:t xml:space="preserve"> отечественного автомобилестроения, характеризующегося дальнейшим качественным ростом и </w:t>
      </w:r>
      <w:r w:rsidRPr="006D1B02">
        <w:rPr>
          <w:rFonts w:ascii="Times New Roman" w:hAnsi="Times New Roman" w:cs="Times New Roman"/>
          <w:color w:val="000000"/>
          <w:sz w:val="28"/>
          <w:szCs w:val="28"/>
        </w:rPr>
        <w:lastRenderedPageBreak/>
        <w:t>положившего начало полной замене ранее выпускающихся моделей новыми, более моделями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Московском заводе малолитражных автомобилей в 1956 г. был начат выпуск автомобиля «Москвич-402», а несколько позже – созданных на его базе автомобиля «Москвич-423» с кузовом универсал и «Москвич-430» с кузовом фургон, а также легкового автомобиля высокой проходимости «Москвич-410» и такого же нового автомобиля с кузовом универсал» Москвич-411». В 1958 г. завод усовершенствовал конструкцию легкового автомобиля «Москвич-402» и стал выпускать его под маркой «Москвич-407». Соответственно были модернизированы и все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 Горьковском автозаводе была проведена модернизация грузового автомобиля, который с 1957 г. начал выпускать под маркой ГАЗ-51А. Также был модернизирован и автомобиль ГАЗ-63. В 1957 г. завод приступил к выпуску пятиместного автомобиля М-21 «Волга» взамен снятого с производства автомобиля М-20 «Победа». В начале 1959 г. завод начал выпускать семиместный автомобиль ГАЗ-13 «Чайка» вместо автомобиля ГАЗ-12. </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Московском заводе им. И. А. Лихачева в результате значительной модернизации автомобилей ЗИЛ-150 и ЗИЛ-151 были созданы автомобили ЗИЛ-164 и ЗИЛ-157. к выпуску которых завод постепенно перешел к концу 1958 г. В середине 1959 г. завод перешел к выпуску семиместного автомобиля высшего класса ЗИЛ-11 взамен автомобиля ЗИЛ-110. На базе модернизации автобуса ЗИЛ-155 завод с 1957 г. выпускал автобус ЗИЛ-158.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Ульяновском автомобильном заводе, наряду с выпуском легкового автомобиля УАЗ-69, в 1958 г. начато производство грузовых автомобилей высокой проходимости УАЗ-450 с кузовом фургон и УАЗ-450Д с бортовым кузовом грузоподъемностью 0,8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Минском заводе, наряду с выпуском грузового автомобиля МАЗ-200, в 1957 г. начато производство нового двухосного автомобиля-лесовоза высокой проходимости МАЗ-502. Модернизирована конструкция автомобиля-лесовозаМАЗ-525 и начато производство новой модели автомобиля-самосвала МАЗ-530 грузоподъемностью 40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Ярославском автомобильном заводе в результате модернизации автомобиля ЯАЗ-210 и его модификаций с 1958 г. начат выпуск трехосного автомобиля ЯАЗ-219 грузоподъемностью 12 т, унифицированного с ним автомобиля высокой проходимости ЯАЗ-214 и на базе автомобиля-самосвала ЯАЗ-219 – автомобиля-самосвала ЯАЗ-222 грузоподъемностью 10 т и автомобиля-тягача ЯАЗ-221.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Уральском автозаводе в результате усовершенствования автомобиля Урал-ЗИС-5 в 1956 г. было приступлено к выпуску автомобиля Урал-ЗИС-355, а в 1958 г. – к модернизированной его модели Урал-355М.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Кутаисском автозаводе им. С. Орджоникидзе было освоено производство автомобиля-самосвала КАЗ-600 и КАЗ-602Б с боковым опрокидыванием платформы.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Павловский автобусный завод выпускал модернизированные городские автобусы ПАЗ-652 на базе агрегатов шасси автомобиля ГАЗ-51А.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Львовский автобусный завод с 1960 г. выпускал городские автобусы ЛАЗ-695Б с использованием ряда агрегатов грузовых автомобилей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Рижский автобусный завод РАФ в 1958 г. построил опытный образец автобуса РАФ-10 «Латвия» малой вместимости (10 человек), созданный с использованием агрегатов автомобиля М-21 «Волга». В конце 1958 г. построен опытный образец микроавтобуса РАФ-8 «Спридитис» вместимостью 8 человек, созданный на базе агрегатов автомобиля «Мосвич-407.</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1959 г. вступил в строй новый завод в г. Ликино Московской области. На этот завод было передано производство автобусов с Московского автозавода им. И. А. Лихачева. Завод выпускает автобусы ЛИАЗ-158.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автобусов было также организованно на новом автобусном заводе в г. Кургане.</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1958-1960 гг. на основе специализации автозаводов, проводимой в соответствии с семилетним планом развития народного хозяйства СССР, несколько изменилась номенклатура автомобилей, выпускаемых старыми действующими заводами, и организовано производство автомобилей и двигателей на новых заводах.</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производство автомобилей-самосвалов большой грузоподъемности с Минского завода было передано на вновь организованный Белорусский автомобильный завод в г. Жодино под Минском. Автомобили этого завода получили марку БелАЗ-525 и БелАЗ-540.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трехосных дизельных грузовых автомобилей с Ярославского завода было передано на вновь построенный автозавод в Кременчуге. Автомобили этого завода начали выпускаться под маркой КрАЗ-219, КрАЗ-222 и др.</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Ярославский моторный завод полностью перешел на производство автомобильных дизелей для грузовых автомобилей. Заводом выпускались двигатели ЯМЗ-М204 и ЯМЗ-М206 и были подготовлены к производству четырехтактные V-образные шести- и восьмицилиндровые дизели ЯМЗ-236 ЯМЗ-238.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начале 1960 г. вступил в строй новый автозавод в Запорожье, созданный на базе завода «Коммунар». Завод приступил к выпуску четырехместных микроавтомобилей ЗАЗ-965 «Запорожец» с двигателем мощностью 23 л. с.</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начале 1960 г. новый моторный в г. Заволжье начал выпускать двигатели для автомобилей ГАЗ.</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1960-1962 гг. ряд автозаводов перешли к производству модернизированных и новых моделей автомобилей с более высокими эксплутационными качествами.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Московский автозавод им И. А. Лихачева в 1960 г. приступил к выпуску переходных моделей грузовых автомобилей (ЗИЛ-164А и ЗИЛ-157К) их модификаций с использованием на них ряда агрегатов и узлов новых автомобилей ЗИЛ-130 и ЗИЛ-131, подготовляемых к производству. В конце 1961 г. завод начал выпускать новые грузовые автомобили ЗИЛ-130 грузоподъемностью 4,0 т с V-образным восьмицилиндровым двигателем мощностью 150 л. с. На базе этого автомобиля предусмотрен выпуска ряда его модификаций. Подготовлен к производству новый трехосный автомобиль высокой проходимости ЗИЛ=131.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Московский завод малолитражных автомобилей в 1962 г. приступил к выпуску модернизированной модели автомобиля «Москвич-407 (автомобиль «Москвич-403») и подготовляет к производству новую модель легкового автомобиля «Москвич-408».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Горьковский автозавод в 1961 г. начал производство модернизированного автомобиля «Волга» модели «М-21А. В 1962 г. завод вместо ранее выпускаемого грузового автомобиля ГАЗ-51А перешел к выпуску автомобиля ГАЗ-53Ф, в котором использованы узлы и агрегаты нового автомобиля ГАЗ-53, подготовляемого к производству. Автомобиль ГАЗ-53 оборудуется новым V-образным восьмицилиндровым двигателем мощностью 120 л. с. На база этого автомобиля намечается производство различных специализированных его модификаций.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Запорожский автозавод подготовил к производству новый микроавтомобиль ЗАЗ-966 с двигателем мощностью 27 л. с. На базе этого автомобиля будут выпускаться различные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Ульяновский автозавод в 1961 г. начал выпуск автомобилей УАЗ-451 грузоподъемностью 0,8 т с одной ведущей задней осью и цельнометаллическим кузовом-фургоном, автомобилей УАЗ-451Д с грузовой бортовой платформой и автобусов УАЗ-451Б. На этих автомобилях установлен двигатель М-21, что улучшило их динамические качества.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Минский автозавод в 1962 г. начал выпускать переходные модели автомобилей (автомобиль-самосвал МАЗ-200П и седельный тягач МАЗ-200М). Подготовляется к производству новый автомобиль МАЗ-500 грузоподъемностью 7,5 т с двигателем ЯМЗ-236 и созданные на его базе автомобиль-самосвал МАЗ503 и седельный тягач МАЗ-504.</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Кременчугский автозавод в 1962 г. также начал выпускать переходные модели (грузовой автомобиль КрАЗ-257 и автомобиль-самосвал КрАЗ-256) и подготовил к производству новый трехосный автомобиль КрАЗ-250 грузоподъемностью 12 т с двигателем ЯМЗ-238 и созданные на его базе автомобиль-самосвал КрАЗ-251 и седельный тягач КрАЗ-252.</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Белорусский автозавод разработал конструкцию семейства карьерных автомобилей-самосвалов большой грузоподъемности. Базовой моделью, подготовленной к производству, является автомобиль БелАЗ-540 грузоподъемностью 27 т с двигателем ЯМЗ мощностью 360 л. с. и с одноместной кабиной.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Кутаисский автозавод в 1962г. начал серийный выпуск седельного тягача КАЗ-606 с кабиной, расположенной над двигателем. Подготовляется к производству переходная модель (короткобазный автомобиль КАЗ-605 грузоподъемностью 4,5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Уральский автозавод приступил к выпуску трехосных автомобилей высокой проходимости Урал-375 грузоподъемностью 5,0 т с V-образным восьмицилиндровым двигателем мощностью180 л. с. Разработана конструкция автомобиля Урал-377 грузоподъемностью 7,5-8,0 т с двумя задними ведущими мостами с тем же двигателем.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Ликинский автобусный завод разработал конструкцию нового автобуса ЛИАЗ-676 вместимостью 80 пассажиров с V-образным восьмицилиндровым двигателем мощностью 150 л. с.</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Львовский завод на базе городского автобуса ЛАЗ-695Б и туристского ЛАЗ-697 разработал модернизированные их модели с V-образным восьмицилиндровым двигателем ЗИЛ мощностью 150 л. с.: городской автобус ЛАЗ-695Е и туристский ЛАЗ-697Е. Разработана также конструкция междугородных автобус: 43-местный </w:t>
      </w:r>
      <w:r w:rsidRPr="006D1B02">
        <w:rPr>
          <w:rFonts w:ascii="Times New Roman" w:hAnsi="Times New Roman" w:cs="Times New Roman"/>
          <w:color w:val="000000"/>
          <w:sz w:val="28"/>
          <w:szCs w:val="28"/>
        </w:rPr>
        <w:lastRenderedPageBreak/>
        <w:t>автобус ЛАЗ-699А для перевозок на небольшие расстояния и 30-местный комфортабельный автобус ЛАЗ-695 для перевозок на дальние расстояния.</w:t>
      </w:r>
    </w:p>
    <w:p w:rsidR="006D1B02" w:rsidRPr="006D1B02" w:rsidRDefault="006D1B02" w:rsidP="006D1B02">
      <w:pPr>
        <w:spacing w:after="0" w:line="240" w:lineRule="auto"/>
        <w:ind w:left="-284" w:right="-284" w:firstLine="851"/>
        <w:jc w:val="both"/>
        <w:rPr>
          <w:rFonts w:ascii="Times New Roman" w:hAnsi="Times New Roman" w:cs="Times New Roman"/>
          <w:sz w:val="28"/>
          <w:szCs w:val="28"/>
        </w:rPr>
      </w:pPr>
      <w:r w:rsidRPr="006D1B02">
        <w:rPr>
          <w:rFonts w:ascii="Times New Roman" w:hAnsi="Times New Roman" w:cs="Times New Roman"/>
          <w:sz w:val="28"/>
          <w:szCs w:val="28"/>
        </w:rPr>
        <w:t>В 1967 г строится гигантский автомобильный завод в г.Тольятти. Прототипом  базовой модели, которую предстояло выпускать на ВАЗе- стал ФИАТ-124.(итальянская фирма). Новый легковой автомобиль ВАЗ-2101 стал определенной вершиной в  развитии нашего автомобилестроения. Он принес с собой новейшую технологию, современные технические решения, знаменовал качественно иной подход к конструированию массовой легковой модели.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Наряду с качественным развитием отечественного автомобилестроения, широкой специализацией в автомобильной промышленности и вводом в производство ряда новых моделей непрерывно растет и количество выпускаемых автомобилей. </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sz w:val="28"/>
          <w:szCs w:val="28"/>
        </w:rPr>
      </w:pPr>
      <w:r w:rsidRPr="006D1B02">
        <w:rPr>
          <w:rFonts w:ascii="Times New Roman" w:eastAsia="Times New Roman" w:hAnsi="Times New Roman" w:cs="Times New Roman"/>
          <w:b/>
          <w:sz w:val="28"/>
          <w:szCs w:val="28"/>
        </w:rPr>
        <w:t xml:space="preserve">Тема 2. </w:t>
      </w:r>
      <w:r w:rsidR="006D1B02" w:rsidRPr="006D1B02">
        <w:rPr>
          <w:rFonts w:ascii="Times New Roman" w:hAnsi="Times New Roman" w:cs="Times New Roman"/>
          <w:b/>
          <w:sz w:val="28"/>
          <w:szCs w:val="28"/>
        </w:rPr>
        <w:t>Нефтепромысловые автоцистерны</w:t>
      </w:r>
    </w:p>
    <w:p w:rsidR="00D33941" w:rsidRPr="006D1B02" w:rsidRDefault="00D33941"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 грузовой автомобиль, оборудованный резервуаром для перевозки нефтепродуктов.</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rStyle w:val="ab"/>
          <w:b/>
          <w:bCs/>
          <w:sz w:val="28"/>
          <w:szCs w:val="28"/>
          <w:bdr w:val="none" w:sz="0" w:space="0" w:color="auto" w:frame="1"/>
        </w:rPr>
        <w:t>Автоцистерны делятся на два типа:</w:t>
      </w:r>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транспортные – предназначены для перевозки нефтепродуктов;</w:t>
      </w:r>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заправочные – необходимы для перевозки и заправки топливом.</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Отличаются эти автоцистерны только кузовом. Автоцистерны могут быть,  как оснащены, так и не оснащены оборудованием для заправочных работ.</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Каждый транспортный и заправочный полуприцеп-цистерна модифицирован для перевозки светлых и темных нефтепродуктов, которые нельзя перевозить в одинаковых емкостях.</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светлых нефтепродуктов (бензовоз) предназначена для перевозки бензина, дизельного топлива, моторного масла.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Бензин состоит из летучих и взрывоопасных частиц, поэтому бензовозы изготавливают с учетом высоких требований к пожарной безопасности. Конструкция бензовоза позволяет перевозить одновременно несколько видов топлива.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темных видов нефтепродуктов (битумовоз) предназначена для перевозки нефти, битума, мазута. Темные нефтепродукты имеют довольно густую консистенцию и могут замерзнуть при низких температурах, что осложнит процесс перекачки. Поэтому, чаще всего, автоцистерна битумовоза оснащена специальными системами, которые способны обеспечить подогрев груза до 250С, что позволяет транспортировать нефтепродукты на дальние расстояния.</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lastRenderedPageBreak/>
        <w:t>Объемы автоцистерн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для перевозки нефтепродуктов изготавливают из стали или стеклопластика разного объема.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rStyle w:val="ab"/>
          <w:b/>
          <w:bCs/>
          <w:sz w:val="28"/>
          <w:szCs w:val="28"/>
          <w:bdr w:val="none" w:sz="0" w:space="0" w:color="auto" w:frame="1"/>
        </w:rPr>
        <w:t>По типу материала цистерны делятся на несколько категорий:</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конструктивной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алюминия;</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нержавеющей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стеклопластика.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lastRenderedPageBreak/>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3.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сбора конденсата нефтепродуктов.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spacing w:after="0" w:line="240" w:lineRule="auto"/>
        <w:ind w:left="-284" w:right="-284" w:firstLine="851"/>
        <w:jc w:val="both"/>
        <w:rPr>
          <w:rFonts w:ascii="Times New Roman" w:hAnsi="Times New Roman" w:cs="Times New Roman"/>
          <w:sz w:val="28"/>
          <w:szCs w:val="28"/>
          <w:shd w:val="clear" w:color="auto" w:fill="FFFFFF"/>
        </w:rPr>
      </w:pPr>
      <w:r w:rsidRPr="006D1B02">
        <w:rPr>
          <w:rStyle w:val="aff1"/>
          <w:rFonts w:ascii="Times New Roman" w:hAnsi="Times New Roman" w:cs="Times New Roman"/>
          <w:sz w:val="28"/>
          <w:szCs w:val="28"/>
          <w:shd w:val="clear" w:color="auto" w:fill="FFFFFF"/>
        </w:rPr>
        <w:t>Агрегат для сбора нефти и газового конденсата </w:t>
      </w:r>
      <w:r w:rsidRPr="006D1B02">
        <w:rPr>
          <w:rFonts w:ascii="Times New Roman" w:hAnsi="Times New Roman" w:cs="Times New Roman"/>
          <w:sz w:val="28"/>
          <w:szCs w:val="28"/>
          <w:shd w:val="clear" w:color="auto" w:fill="FFFFFF"/>
        </w:rPr>
        <w:t>- предназначен для механизированного сбора газового конденсата, разлитых (отработанных) нефтепродуктов и доставки их к месту утилизации. </w:t>
      </w:r>
      <w:r w:rsidRPr="006D1B02">
        <w:rPr>
          <w:rStyle w:val="aff1"/>
          <w:rFonts w:ascii="Times New Roman" w:hAnsi="Times New Roman" w:cs="Times New Roman"/>
          <w:sz w:val="28"/>
          <w:szCs w:val="28"/>
          <w:shd w:val="clear" w:color="auto" w:fill="FFFFFF"/>
        </w:rPr>
        <w:t>Цистерны </w:t>
      </w:r>
      <w:r w:rsidRPr="006D1B02">
        <w:rPr>
          <w:rFonts w:ascii="Times New Roman" w:hAnsi="Times New Roman" w:cs="Times New Roman"/>
          <w:sz w:val="28"/>
          <w:szCs w:val="28"/>
          <w:shd w:val="clear" w:color="auto" w:fill="FFFFFF"/>
        </w:rPr>
        <w:t>на данных агрегатах калиброванные, чемоданного сечения, одно-двух-трехсекционные, оснащеные насосными установками разным модификаций способные перекачивать с глубины 4-6 метров. Объем цистерны от 10 до 15 кубометров. Автоцистерна оснащена напорно-всасывающим руковом, котрые имееют длину 4-6 метра.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lastRenderedPageBreak/>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lastRenderedPageBreak/>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b/>
          <w:sz w:val="28"/>
          <w:szCs w:val="28"/>
        </w:rPr>
        <w:t xml:space="preserve"> </w:t>
      </w: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4.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обслуживания скважин</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Выбор необходимого наземного оборудования и инструмента для ремонта скважин производят исходя из категории и разновидности предстоящего подземного ремонта. Для ремонта скважин используют подъемные лебедки, монтируемые на самоходной транспортной базе – автомобиле или тракторе. Лебедка может монтироваться совместно с вышкой, талевой системой и другим оборудованием. В этом случае оборудование в целом называют подъемной установкой, а при более полной комплектации (насосом, ротором, вертлюгом и др.) – комплексом подъемного оборудования. Если на тракторе монтируют только лебедку, такой механизм называют подъемником.</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самоходных установках и подъемниках для привода лебедки и других вспомогательных механизмов, как правило, используют двигатель самой транспортной базы. Передача вращения осуществляется от механизма отбора мощности, через трансмиссию и коробку скоростей на барабан лебедки, при вращении которого наматывается или разматывается канат. Выбор установки, комплекса оборудования и инструмента зависит от глубины ремонтируемой скважины, характера и степени сложности работ. Основным критерием для выбора вышки и оборудования является их грузоподъемность.</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процессе ремонтных работ на вышку (мачту) действуют вертикальные и горизонтальные нагрузки. Выбор вышки производят по вертикальным нагрузкам, для чего определяют максимальное значение, которое может испытывать вышка в процессе ремонта скважины.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для ремонта скважин, которые применяются в нефтегазовом комплексе, довольно широко представлены на российском рынке. Более десятка отечественных предприятий выпускают данное мобильное оборудование с диапазоном грузоподъемности от 32 до 125 тонн.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Техника грузоподъемностью 32 тонны выпускается на заводе «Стройнефтемаш» (Ростов-на-Дону) – подъемник УПТА-37/32 базируется на шасси «КрАЗ-260», на Зеленодольском заводе им. Горького (Татарстан) - УРГ-32 на шасси полноприводного КАМАЗа, на башкирском предприятии «Красный пролетарий» (Стерлитамак) – А2-32 на шасси «Урал-4320-1912-30» и А4-32 – на шасси «КрАЗ-260Г».</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lastRenderedPageBreak/>
        <w:t>Хорошим спросом у покупателей пользуются агрегаты грузоподъемностью 40 тонн. На Тюменском заводе «Нефтепроммаш» выпускается модель АПРС-40У на шасси «Урал-4320-1912-30». На этом же шасси базируется установка А5-40М, изготовленная на заводе «Красный пролетарий». Агрегат АПРС-40М, который предлагает Нижегородский машиностроительный завод, базируется на шасси «КрАЗ-260». На шасси автомобилей «КрАЗ» и «Урал» устанавливается АПРС-40 производства Тюменского судостроительного завода. На Кунгурском машиностроительном заводе выпускаются три модификации 40-тонных агрегатов для ремонта скважин, которые базируются на шасси «КрАЗ-260» и «Урал-4320-1912-30».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Две модели 60-тонных установок выпускает Ишимбайский завод «Нефтемаш» (Башкортостан). Модель УПА-60 предназначается для освоения и ремонта нефтяных и газовых скважин. Модель А-50МБ выполняет также бурение на глубину до 1200 м. Оба агрегата устанавливаются на шасси «КрАЗ-65101». На Кунгурском заводе выпускается ремонтная установка АР-60, которая также способна выполнять бурение на глубину до 1500 м. Агрегат базируется на автомобилях «КрАЗ-65101/260». Машиностроительный завод (Санкт-Петербург) тоже производит несколько модификаций подъемных установок для освоения и ремонта скважин грузоподъемностью 60 тонн, которые базируются на шасси «КрАЗ-65101».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Кунгурский завод предлагает ремонтные агрегаты грузоподъемностью 80 тонн, которые базируются на шасси «Урал-Ивеко-5531». Кроме ремонтных операций машина А-60/80И выполняет и буровые работы (глубина бурения до 2000 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На Кунгурском предприятие разработан также ремонтно-буровой агрегат АРБ-100, имеющий грузоподъемность 100 тонн. При ремонте машина может использоваться на скважинах глубиной до 5000 м, при бурении глубина достигает 2500 м. Установка базируется на четырехосном тягаче БЗКТ. Волгоградский завод буровой техники выпускает модель Р-125 грузоподъемностью 125 тонн, которая выполняет ремонт скважин глубиной до 6400 м, а ее модификация БР-125 производит как ремонт, так и бурение (глубина скважины до 3000 м). Установка базируется на шасси шестиосного вездехода МЗКТ-79191.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АР-32 и АР-32/40 созданы для проведения текущих ремонтов эксплуатационных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автошасси КрАЗ-260Г. Привод устройств – от ходового мотора ЯМЗ-238Л.</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различаются высочайшей проходимостью, разрешают стремительно делать установка на скважине. Кабина оператора расположена в конкретной близости от устья скважины и обеспечивает удобство и неплохой обзор рабочего места. Технические характеристики АР-32 и АР-32/40.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АР-60 предназначен для освоения, ремонта и бурения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подъемного блока – автошасси КрАЗ-65101. Привод устройств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lastRenderedPageBreak/>
        <w:t>Агрегат в выполнении для бурения комплектуется полатями верхового рабочего для вертикальной расстановки труб и буровым основанием с канделябром, насосным блоком на прицепе, ротором с интегрированным клиньевым захватом, транспортабельной котельной установкой либо воздушным теплогенератором.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По отдельному заказу агрегат поставляется с двухбарабанной лебедкой, комплектом устьевого, скважинного оборудования и инструмента для свабирования скважин, также комплектуется гидроприводным ключом и вертлюгом.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А60/80 предназначен для освоения, ремонта и бурения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автошасси БАЗ-69507/06.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 от ходового мотора ЯМЗ-238Н.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обустроен торцовыми дисковыми муфтами, позволяющими исключить из комплекта дополнительный компрессор, малогабаритными гидравлическими аутригерами с огромным ходом, действенной регулируемой тормозной системой, зубчатой коробкой привода лебедки, восьмискоростной коробкой.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АРБ-100 в зависимости от состава комплекса оборудования применяется для серьезного ремонта скважин, освоения способом свабирования, а также для бурения скважин различного предназначения: поисковых, гидрогеологических, водозаборных, нефтяных и газовых (эксплуатационных).</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состоит из последующих главных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блок-подъемника на высокопроходимом шасси БАЗ-69091;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насосного модуля на 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циркуляционной системы, включающей блоки очистки, хранения и изготовления бурового раствора;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 модуля мобильного бурового основания на полуприцепе; </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транспортабельной котельной установки.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А-50М предназначен для освоения, ремонта и выполнения комплекса работ по ликвидации аварий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механизмы агрегата, не считая промывочного насоса, смонтированы на авто шасси "Татра" либо КрАЗ —65101 с подогревателем типа ПЖД-44-П. Буровой насос НБ-125 смонтирован на прицепе типа 710 либо СМ-38326.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агрегата на автошасси КрАЗ-65101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Привод подвесного оборудования агрегата и насосного блока осуществляется от мотора кара через коробку скоростей, раздаточную коробку, коробку отбора мощности и раздаточный редуктор. От раздаточного редуктора вращение передается буровому насосу и редуктору масляным насосом, питающим гидромотор привода ротора и гидроцилиндры подъема вышки. На вышке расположены подвески ключа и бурового рукава, соединенного с буровым насосом с помощью манифольда. По мере необходимости к талевому </w:t>
      </w:r>
      <w:r w:rsidRPr="006D1B02">
        <w:rPr>
          <w:rFonts w:ascii="Times New Roman" w:hAnsi="Times New Roman" w:cs="Times New Roman"/>
          <w:sz w:val="28"/>
          <w:szCs w:val="28"/>
        </w:rPr>
        <w:lastRenderedPageBreak/>
        <w:t>блоку может быть подвешен вертлюг с квадратной штангой. Перегрузка на крюке определяется с помощью индикатора веса, закрепленного на "мертвом" конце талевого каната.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Цепные передачи на подъемный вал барабана лебедки врубаются шинно пневматическими муфтами. Трансмиссионный вал при помощи цепных передач, включаемых шинно-пневматической и зубчатой муфтами, передает две скорости вращения промежуточному валу бурового ротора. Ввиду того, что раздаточный редуктор агрегата получает от коробки отбора мощности две скорости вращения, гидроротор и буровой насос также имеют две скорости вращения. Подъем и опускание вышки делается при работе кара на первой передаче и при одном включенном маслонасосе.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БР-125 предназначен для эксплуатационного и разведочного бурения, ремонта и выполнения комплекса работ по ликвидации аварий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шестиосное ведомое шасси МЗКТ-79191 и полуприцеп 4МЗАП-99859.</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 от автономных дизель-электростанций.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представляет собой комплекс оборудования, устройств и приспособлений, скомпонованных в блоки и модули: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 вышечно-лебедочный мобильный, смонтированный на многоприводном шестиосном шасси;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 основания мобильный, смонтированный на серийном полуприцепе;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насосный блок, состоящий из 2-ух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циркуляционная система, состоящая из 2-ух блоков хранения, блока чистки, блока дегазатора;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модули агрегата выполнены с завышенной заводской готовностью, представляют собой цельнометаллические домики со съемной крышей.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Коммуникации (трубопроводные и кабельные) смонтированы в металлических контейнерах, которые во время работы агрегата выполняют функции трапов. Разъемы в местах соединений контейнеров между собой и с модулями (блоками) выполнены быстроразъемными соединениями.</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5. </w:t>
      </w:r>
      <w:r w:rsidR="006D1B02" w:rsidRPr="006D1B02">
        <w:rPr>
          <w:rFonts w:ascii="Times New Roman" w:hAnsi="Times New Roman" w:cs="Times New Roman"/>
          <w:b/>
          <w:sz w:val="28"/>
          <w:szCs w:val="28"/>
        </w:rPr>
        <w:t>Буровые установки</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bCs/>
          <w:sz w:val="28"/>
          <w:szCs w:val="28"/>
        </w:rPr>
        <w:t>Талевая система буровой установки</w:t>
      </w:r>
      <w:r w:rsidRPr="006D1B02">
        <w:rPr>
          <w:rFonts w:ascii="Times New Roman" w:hAnsi="Times New Roman" w:cs="Times New Roman"/>
          <w:sz w:val="28"/>
          <w:szCs w:val="28"/>
        </w:rPr>
        <w:t xml:space="preserve"> предназначена для подъема и поддержания на весу тяжелого бурового инструмента. Она представляет собой полиспастный механизм, который состоит из кронблока, установленного на вышке или мачте, талевого блока и талевого каната, являющегося гибкой связью между буровой лебедкой и подъемным крюком, подвешенным к талевому блоку. Под оснасткой талевой системы понимается навеска каната на </w:t>
      </w:r>
      <w:r w:rsidRPr="006D1B02">
        <w:rPr>
          <w:rFonts w:ascii="Times New Roman" w:hAnsi="Times New Roman" w:cs="Times New Roman"/>
          <w:sz w:val="28"/>
          <w:szCs w:val="28"/>
        </w:rPr>
        <w:lastRenderedPageBreak/>
        <w:t>шкивы кронблока и талевого блока в определенной последовательности, которая исключала бы перекрещивание каната и трение его ветвей друг о друга.</w:t>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 небольших нагрузках на крюке спускоподъемные операции выполняют на прямом канате (</w:t>
      </w:r>
      <w:r w:rsidRPr="006D1B02">
        <w:rPr>
          <w:rFonts w:ascii="Times New Roman" w:hAnsi="Times New Roman" w:cs="Times New Roman"/>
          <w:iCs/>
          <w:sz w:val="28"/>
          <w:szCs w:val="28"/>
        </w:rPr>
        <w:t>рисунок 1, а</w:t>
      </w:r>
      <w:r w:rsidRPr="006D1B02">
        <w:rPr>
          <w:rFonts w:ascii="Times New Roman" w:hAnsi="Times New Roman" w:cs="Times New Roman"/>
          <w:sz w:val="28"/>
          <w:szCs w:val="28"/>
        </w:rPr>
        <w:t>). В геологоразведочном бурении применяют талевые системы трех типов:</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с креплением свободного конца каната к основанию буровой установки или якорю (талевая система с неподвижным концом каната), (</w:t>
      </w:r>
      <w:r w:rsidRPr="006D1B02">
        <w:rPr>
          <w:rFonts w:ascii="Times New Roman" w:hAnsi="Times New Roman" w:cs="Times New Roman"/>
          <w:iCs/>
          <w:sz w:val="28"/>
          <w:szCs w:val="28"/>
        </w:rPr>
        <w:t>рисунок 1, б, в</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кронблоку мачты или вышки (</w:t>
      </w:r>
      <w:r w:rsidRPr="006D1B02">
        <w:rPr>
          <w:rFonts w:ascii="Times New Roman" w:hAnsi="Times New Roman" w:cs="Times New Roman"/>
          <w:iCs/>
          <w:sz w:val="28"/>
          <w:szCs w:val="28"/>
        </w:rPr>
        <w:t>рисунок 1, г</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 талевому блоку (</w:t>
      </w:r>
      <w:r w:rsidRPr="006D1B02">
        <w:rPr>
          <w:rFonts w:ascii="Times New Roman" w:hAnsi="Times New Roman" w:cs="Times New Roman"/>
          <w:iCs/>
          <w:sz w:val="28"/>
          <w:szCs w:val="28"/>
        </w:rPr>
        <w:t>рисунок 1, д</w:t>
      </w:r>
      <w:r w:rsidRPr="006D1B02">
        <w:rPr>
          <w:rFonts w:ascii="Times New Roman" w:hAnsi="Times New Roman" w:cs="Times New Roman"/>
          <w:sz w:val="28"/>
          <w:szCs w:val="28"/>
        </w:rPr>
        <w:t>).</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noProof/>
          <w:sz w:val="28"/>
          <w:szCs w:val="28"/>
        </w:rPr>
        <w:drawing>
          <wp:inline distT="0" distB="0" distL="0" distR="0">
            <wp:extent cx="3067050" cy="2276475"/>
            <wp:effectExtent l="0" t="0" r="0" b="0"/>
            <wp:docPr id="2" name="Рисунок 2" descr="http://www.drillings.ru/www/images/rvb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http://www.drillings.ru/www/images/rvb12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2276475"/>
                    </a:xfrm>
                    <a:prstGeom prst="rect">
                      <a:avLst/>
                    </a:prstGeom>
                    <a:noFill/>
                    <a:ln>
                      <a:noFill/>
                    </a:ln>
                  </pic:spPr>
                </pic:pic>
              </a:graphicData>
            </a:graphic>
          </wp:inline>
        </w:drawing>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iCs/>
          <w:sz w:val="28"/>
          <w:szCs w:val="28"/>
        </w:rPr>
      </w:pPr>
      <w:r w:rsidRPr="006D1B02">
        <w:rPr>
          <w:rFonts w:ascii="Times New Roman" w:hAnsi="Times New Roman" w:cs="Times New Roman"/>
          <w:iCs/>
          <w:sz w:val="28"/>
          <w:szCs w:val="28"/>
        </w:rPr>
        <w:t>Рисунок 1 -  Схемы талевых систем</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iCs/>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bCs/>
          <w:sz w:val="28"/>
          <w:szCs w:val="28"/>
        </w:rPr>
        <w:t>Талевая система</w:t>
      </w:r>
      <w:r w:rsidRPr="006D1B02">
        <w:rPr>
          <w:rFonts w:ascii="Times New Roman" w:hAnsi="Times New Roman" w:cs="Times New Roman"/>
          <w:sz w:val="28"/>
          <w:szCs w:val="28"/>
        </w:rPr>
        <w:t> с неподвижным концом каната (симметричная талевая система) обеспечивает более равномерное распределение нагрузки на опоры вышки или мачты, а также позволяет устанавливать на неподвижной ветви талевого каната указатель веса инструмента и нагрузки на породоразрушающий инструмент.</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подвижном крюке ветви талевого каната равномерно нагружены силой</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4"/>
          <w:sz w:val="28"/>
          <w:szCs w:val="28"/>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11" o:title=""/>
          </v:shape>
          <o:OLEObject Type="Embed" ProgID="Equation.DSMT4" ShapeID="_x0000_i1025" DrawAspect="Content" ObjectID="_1640505569" r:id="rId12"/>
        </w:object>
      </w: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800" w:dyaOrig="700">
          <v:shape id="_x0000_i1026" type="#_x0000_t75" style="width:39.75pt;height:35.25pt" o:ole="">
            <v:imagedata r:id="rId13" o:title=""/>
          </v:shape>
          <o:OLEObject Type="Embed" ProgID="Equation.DSMT4" ShapeID="_x0000_i1026" DrawAspect="Content" ObjectID="_1640505570" r:id="rId14"/>
        </w:object>
      </w:r>
      <w:r w:rsidRPr="006D1B02">
        <w:rPr>
          <w:rFonts w:ascii="Times New Roman" w:hAnsi="Times New Roman" w:cs="Times New Roman"/>
          <w:sz w:val="28"/>
          <w:szCs w:val="28"/>
        </w:rPr>
        <w:t xml:space="preserve">                                                         (1)</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где Q - нагрузка на крюке, Н (весом талевого блока можно пренебречь, так как при геологоразведочном бурении он незначительный); </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r w:rsidRPr="006D1B02">
        <w:rPr>
          <w:rFonts w:ascii="Times New Roman" w:hAnsi="Times New Roman" w:cs="Times New Roman"/>
          <w:sz w:val="28"/>
          <w:szCs w:val="28"/>
        </w:rPr>
        <w:t>u</w:t>
      </w:r>
      <w:r w:rsidRPr="006D1B02">
        <w:rPr>
          <w:rFonts w:ascii="Times New Roman" w:hAnsi="Times New Roman" w:cs="Times New Roman"/>
          <w:sz w:val="28"/>
          <w:szCs w:val="28"/>
          <w:vertAlign w:val="subscript"/>
        </w:rPr>
        <w:t>тс</w:t>
      </w:r>
      <w:r w:rsidRPr="006D1B02">
        <w:rPr>
          <w:rFonts w:ascii="Times New Roman" w:hAnsi="Times New Roman" w:cs="Times New Roman"/>
          <w:sz w:val="28"/>
          <w:szCs w:val="28"/>
        </w:rPr>
        <w:t xml:space="preserve"> - число струн талевой системы, то есть число подвижных ветвей каната за исключением ветви, наматываемой на барабан лебедки.</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В процессе бурения вследствие трения и изгиба каната усилия в ветвях полиспаста Р</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Р</w:t>
      </w:r>
      <w:r w:rsidRPr="006D1B02">
        <w:rPr>
          <w:rFonts w:ascii="Times New Roman" w:hAnsi="Times New Roman" w:cs="Times New Roman"/>
          <w:sz w:val="28"/>
          <w:szCs w:val="28"/>
          <w:vertAlign w:val="subscript"/>
        </w:rPr>
        <w:t>2</w:t>
      </w:r>
      <w:r w:rsidRPr="006D1B02">
        <w:rPr>
          <w:rFonts w:ascii="Times New Roman" w:hAnsi="Times New Roman" w:cs="Times New Roman"/>
          <w:sz w:val="28"/>
          <w:szCs w:val="28"/>
        </w:rPr>
        <w:t>......Р</w:t>
      </w:r>
      <w:r w:rsidRPr="006D1B02">
        <w:rPr>
          <w:rFonts w:ascii="Times New Roman" w:hAnsi="Times New Roman" w:cs="Times New Roman"/>
          <w:sz w:val="28"/>
          <w:szCs w:val="28"/>
          <w:vertAlign w:val="subscript"/>
        </w:rPr>
        <w:t>н</w:t>
      </w:r>
      <w:r w:rsidRPr="006D1B02">
        <w:rPr>
          <w:rFonts w:ascii="Times New Roman" w:hAnsi="Times New Roman" w:cs="Times New Roman"/>
          <w:sz w:val="28"/>
          <w:szCs w:val="28"/>
        </w:rPr>
        <w:t> распределяются неравномерно.</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Поэтому нагрузка на крюке (Q, Н) определяется по формуле</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860" w:dyaOrig="720">
          <v:shape id="_x0000_i1027" type="#_x0000_t75" style="width:93pt;height:36pt" o:ole="">
            <v:imagedata r:id="rId15" o:title=""/>
          </v:shape>
          <o:OLEObject Type="Embed" ProgID="Equation.DSMT4" ShapeID="_x0000_i1027" DrawAspect="Content" ObjectID="_1640505571" r:id="rId16"/>
        </w:object>
      </w:r>
      <w:r w:rsidRPr="006D1B02">
        <w:rPr>
          <w:rFonts w:ascii="Times New Roman" w:hAnsi="Times New Roman" w:cs="Times New Roman"/>
          <w:sz w:val="28"/>
          <w:szCs w:val="28"/>
        </w:rPr>
        <w:t xml:space="preserve">                                                   (2)</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где Р</w:t>
      </w:r>
      <w:r w:rsidRPr="006D1B02">
        <w:rPr>
          <w:rFonts w:ascii="Times New Roman" w:hAnsi="Times New Roman" w:cs="Times New Roman"/>
          <w:sz w:val="28"/>
          <w:szCs w:val="28"/>
          <w:vertAlign w:val="subscript"/>
        </w:rPr>
        <w:t>л</w:t>
      </w:r>
      <w:r w:rsidRPr="006D1B02">
        <w:rPr>
          <w:rFonts w:ascii="Times New Roman" w:hAnsi="Times New Roman" w:cs="Times New Roman"/>
          <w:sz w:val="28"/>
          <w:szCs w:val="28"/>
        </w:rPr>
        <w:t xml:space="preserve"> - натяжение ведущей ветви, Н;</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r w:rsidRPr="006D1B02">
        <w:rPr>
          <w:rFonts w:ascii="Times New Roman" w:hAnsi="Times New Roman" w:cs="Times New Roman"/>
          <w:sz w:val="28"/>
          <w:szCs w:val="28"/>
        </w:rPr>
        <w:t>η – коэффициент полезного действия одного шкива, для шкивов на подшипниках качения η=0,98.</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Коэффициент полезного действия талевой системы (</w:t>
      </w:r>
      <w:r w:rsidRPr="006D1B02">
        <w:rPr>
          <w:rFonts w:ascii="Times New Roman" w:hAnsi="Times New Roman" w:cs="Times New Roman"/>
          <w:sz w:val="28"/>
          <w:szCs w:val="28"/>
        </w:rPr>
        <w:sym w:font="Symbol" w:char="F068"/>
      </w:r>
      <w:r w:rsidRPr="006D1B02">
        <w:rPr>
          <w:rFonts w:ascii="Times New Roman" w:hAnsi="Times New Roman" w:cs="Times New Roman"/>
          <w:sz w:val="28"/>
          <w:szCs w:val="28"/>
          <w:vertAlign w:val="subscript"/>
        </w:rPr>
        <w:t>тс</w:t>
      </w:r>
      <w:r w:rsidRPr="006D1B02">
        <w:rPr>
          <w:rFonts w:ascii="Times New Roman" w:hAnsi="Times New Roman" w:cs="Times New Roman"/>
          <w:sz w:val="28"/>
          <w:szCs w:val="28"/>
        </w:rPr>
        <w:t xml:space="preserve">) определяется по формуле </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660" w:dyaOrig="720">
          <v:shape id="_x0000_i1028" type="#_x0000_t75" style="width:83.25pt;height:36pt" o:ole="">
            <v:imagedata r:id="rId17" o:title=""/>
          </v:shape>
          <o:OLEObject Type="Embed" ProgID="Equation.DSMT4" ShapeID="_x0000_i1028" DrawAspect="Content" ObjectID="_1640505572" r:id="rId18"/>
        </w:object>
      </w:r>
      <w:r w:rsidRPr="006D1B02">
        <w:rPr>
          <w:rFonts w:ascii="Times New Roman" w:hAnsi="Times New Roman" w:cs="Times New Roman"/>
          <w:sz w:val="28"/>
          <w:szCs w:val="28"/>
        </w:rPr>
        <w:t xml:space="preserve">                                                      (3)</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определении числа струн талевой оснастки исходят из набольшей нагрузки на крюк Q. Ее определяют при подъеме наиболее тяжелого бурильного инструмента или наиболее тяжелой колонны обсадных труб.</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4"/>
          <w:sz w:val="28"/>
          <w:szCs w:val="28"/>
        </w:rPr>
        <w:object w:dxaOrig="1660" w:dyaOrig="740">
          <v:shape id="_x0000_i1029" type="#_x0000_t75" style="width:83.25pt;height:36.75pt" o:ole="">
            <v:imagedata r:id="rId19" o:title=""/>
          </v:shape>
          <o:OLEObject Type="Embed" ProgID="Equation.DSMT4" ShapeID="_x0000_i1029" DrawAspect="Content" ObjectID="_1640505573" r:id="rId20"/>
        </w:object>
      </w:r>
      <w:r w:rsidRPr="006D1B02">
        <w:rPr>
          <w:rFonts w:ascii="Times New Roman" w:hAnsi="Times New Roman" w:cs="Times New Roman"/>
          <w:sz w:val="28"/>
          <w:szCs w:val="28"/>
        </w:rPr>
        <w:t xml:space="preserve">                                                   (4)</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где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 коэффициент длительной перегрузки двигателя; для электродвигателей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=1,3; для двигателей внутреннего сгорания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=1,10-1,15.</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Расчет каната ведется на сложное сопротивление, учитывающее совместное действие растяжения и изгиба. При этом вначале выбирают канат, по разрывному усилию (Р</w:t>
      </w:r>
      <w:r w:rsidRPr="006D1B02">
        <w:rPr>
          <w:sz w:val="28"/>
          <w:szCs w:val="28"/>
          <w:vertAlign w:val="subscript"/>
        </w:rPr>
        <w:t>р</w:t>
      </w:r>
      <w:r w:rsidRPr="006D1B02">
        <w:rPr>
          <w:sz w:val="28"/>
          <w:szCs w:val="28"/>
        </w:rPr>
        <w:t>, Н) исходя из усилия в ходовом конце каната.</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rStyle w:val="ab"/>
          <w:sz w:val="28"/>
          <w:szCs w:val="28"/>
        </w:rPr>
        <w:t xml:space="preserve">                                              Р</w:t>
      </w:r>
      <w:r w:rsidRPr="006D1B02">
        <w:rPr>
          <w:rStyle w:val="ab"/>
          <w:sz w:val="28"/>
          <w:szCs w:val="28"/>
          <w:vertAlign w:val="subscript"/>
        </w:rPr>
        <w:t>р</w:t>
      </w:r>
      <w:r w:rsidRPr="006D1B02">
        <w:rPr>
          <w:rStyle w:val="apple-converted-space"/>
          <w:rFonts w:eastAsia="Calibri"/>
          <w:i/>
          <w:iCs/>
          <w:sz w:val="28"/>
          <w:szCs w:val="28"/>
        </w:rPr>
        <w:t> </w:t>
      </w:r>
      <w:r w:rsidRPr="006D1B02">
        <w:rPr>
          <w:rStyle w:val="ab"/>
          <w:sz w:val="28"/>
          <w:szCs w:val="28"/>
        </w:rPr>
        <w:t>= Р</w:t>
      </w:r>
      <w:r w:rsidRPr="006D1B02">
        <w:rPr>
          <w:rStyle w:val="ab"/>
          <w:sz w:val="28"/>
          <w:szCs w:val="28"/>
          <w:vertAlign w:val="subscript"/>
        </w:rPr>
        <w:t>х</w:t>
      </w:r>
      <w:r w:rsidRPr="006D1B02">
        <w:rPr>
          <w:rStyle w:val="apple-converted-space"/>
          <w:rFonts w:eastAsia="Calibri"/>
          <w:i/>
          <w:iCs/>
          <w:sz w:val="28"/>
          <w:szCs w:val="28"/>
        </w:rPr>
        <w:t> </w:t>
      </w:r>
      <w:r w:rsidRPr="006D1B02">
        <w:rPr>
          <w:rStyle w:val="ab"/>
          <w:sz w:val="28"/>
          <w:szCs w:val="28"/>
        </w:rPr>
        <w:t>· К</w:t>
      </w:r>
      <w:r w:rsidRPr="006D1B02">
        <w:rPr>
          <w:sz w:val="28"/>
          <w:szCs w:val="28"/>
        </w:rPr>
        <w:t xml:space="preserve">                                                      (5)</w:t>
      </w:r>
    </w:p>
    <w:p w:rsidR="006D1B02" w:rsidRPr="006D1B02" w:rsidRDefault="006D1B02" w:rsidP="006D1B02">
      <w:pPr>
        <w:pStyle w:val="af3"/>
        <w:tabs>
          <w:tab w:val="left" w:pos="426"/>
          <w:tab w:val="left" w:pos="9781"/>
        </w:tabs>
        <w:spacing w:before="0" w:beforeAutospacing="0" w:after="0" w:afterAutospacing="0"/>
        <w:jc w:val="both"/>
        <w:rPr>
          <w:i/>
          <w:sz w:val="28"/>
          <w:szCs w:val="28"/>
        </w:rPr>
      </w:pP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где</w:t>
      </w:r>
      <w:r w:rsidRPr="006D1B02">
        <w:rPr>
          <w:rStyle w:val="apple-converted-space"/>
          <w:rFonts w:eastAsia="Calibri"/>
          <w:sz w:val="28"/>
          <w:szCs w:val="28"/>
        </w:rPr>
        <w:t> </w:t>
      </w:r>
      <w:r w:rsidRPr="006D1B02">
        <w:rPr>
          <w:rStyle w:val="ab"/>
          <w:sz w:val="28"/>
          <w:szCs w:val="28"/>
        </w:rPr>
        <w:t>К</w:t>
      </w:r>
      <w:r w:rsidRPr="006D1B02">
        <w:rPr>
          <w:rStyle w:val="apple-converted-space"/>
          <w:rFonts w:eastAsia="Calibri"/>
          <w:sz w:val="28"/>
          <w:szCs w:val="28"/>
        </w:rPr>
        <w:t> </w:t>
      </w:r>
      <w:r w:rsidRPr="006D1B02">
        <w:rPr>
          <w:sz w:val="28"/>
          <w:szCs w:val="28"/>
        </w:rPr>
        <w:t>- коэффициент запаса прочности, который принимается равным 4...5</w:t>
      </w:r>
    </w:p>
    <w:p w:rsidR="006D1B02" w:rsidRPr="006D1B02" w:rsidRDefault="006D1B02" w:rsidP="006D1B02">
      <w:pPr>
        <w:pStyle w:val="af3"/>
        <w:tabs>
          <w:tab w:val="left" w:pos="426"/>
          <w:tab w:val="left" w:pos="9781"/>
        </w:tabs>
        <w:spacing w:before="0" w:beforeAutospacing="0" w:after="0" w:afterAutospacing="0"/>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от растяжения (</w:t>
      </w:r>
      <w:r w:rsidRPr="006D1B02">
        <w:rPr>
          <w:sz w:val="28"/>
          <w:szCs w:val="28"/>
        </w:rPr>
        <w:sym w:font="Symbol" w:char="F073"/>
      </w:r>
      <w:r w:rsidRPr="006D1B02">
        <w:rPr>
          <w:sz w:val="28"/>
          <w:szCs w:val="28"/>
          <w:vertAlign w:val="subscript"/>
        </w:rPr>
        <w:t>р</w:t>
      </w:r>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6"/>
          <w:sz w:val="28"/>
          <w:szCs w:val="28"/>
        </w:rPr>
        <w:object w:dxaOrig="1300" w:dyaOrig="660">
          <v:shape id="_x0000_i1030" type="#_x0000_t75" style="width:65.25pt;height:33pt" o:ole="">
            <v:imagedata r:id="rId21" o:title=""/>
          </v:shape>
          <o:OLEObject Type="Embed" ProgID="Equation.DSMT4" ShapeID="_x0000_i1030" DrawAspect="Content" ObjectID="_1640505574" r:id="rId22"/>
        </w:object>
      </w:r>
      <w:r w:rsidRPr="006D1B02">
        <w:rPr>
          <w:sz w:val="28"/>
          <w:szCs w:val="28"/>
        </w:rPr>
        <w:t xml:space="preserve">                                                       (6) </w:t>
      </w:r>
    </w:p>
    <w:p w:rsidR="006D1B02" w:rsidRPr="006D1B02" w:rsidRDefault="006D1B02" w:rsidP="006D1B02">
      <w:pPr>
        <w:pStyle w:val="af3"/>
        <w:tabs>
          <w:tab w:val="left" w:pos="426"/>
          <w:tab w:val="left" w:pos="9781"/>
        </w:tabs>
        <w:spacing w:before="0" w:beforeAutospacing="0" w:after="0" w:afterAutospacing="0"/>
        <w:rPr>
          <w:sz w:val="28"/>
          <w:szCs w:val="28"/>
        </w:rPr>
      </w:pPr>
    </w:p>
    <w:p w:rsidR="006D1B02" w:rsidRPr="006D1B02" w:rsidRDefault="006D1B02" w:rsidP="006D1B02">
      <w:pPr>
        <w:pStyle w:val="af3"/>
        <w:tabs>
          <w:tab w:val="left" w:pos="426"/>
          <w:tab w:val="left" w:pos="9781"/>
        </w:tabs>
        <w:spacing w:before="0" w:beforeAutospacing="0" w:after="0" w:afterAutospacing="0"/>
        <w:rPr>
          <w:sz w:val="28"/>
          <w:szCs w:val="28"/>
        </w:rPr>
      </w:pPr>
      <w:r w:rsidRPr="006D1B02">
        <w:rPr>
          <w:sz w:val="28"/>
          <w:szCs w:val="28"/>
        </w:rPr>
        <w:t>где δ - диаметр проволоки в канате в м;</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r w:rsidRPr="006D1B02">
        <w:rPr>
          <w:rStyle w:val="apple-converted-space"/>
          <w:rFonts w:eastAsia="Calibri"/>
          <w:iCs/>
          <w:sz w:val="28"/>
          <w:szCs w:val="28"/>
        </w:rPr>
        <w:t> </w:t>
      </w:r>
      <w:r w:rsidRPr="006D1B02">
        <w:rPr>
          <w:rStyle w:val="ab"/>
          <w:sz w:val="28"/>
          <w:szCs w:val="28"/>
        </w:rPr>
        <w:t>i</w:t>
      </w:r>
      <w:r w:rsidRPr="006D1B02">
        <w:rPr>
          <w:rStyle w:val="apple-converted-space"/>
          <w:rFonts w:eastAsia="Calibri"/>
          <w:i/>
          <w:sz w:val="28"/>
          <w:szCs w:val="28"/>
        </w:rPr>
        <w:t> </w:t>
      </w:r>
      <w:r w:rsidRPr="006D1B02">
        <w:rPr>
          <w:sz w:val="28"/>
          <w:szCs w:val="28"/>
        </w:rPr>
        <w:t>- количество проволок в канате.</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изгиба (</w:t>
      </w:r>
      <w:r w:rsidRPr="006D1B02">
        <w:rPr>
          <w:sz w:val="28"/>
          <w:szCs w:val="28"/>
        </w:rPr>
        <w:sym w:font="Symbol" w:char="F073"/>
      </w:r>
      <w:r w:rsidRPr="006D1B02">
        <w:rPr>
          <w:sz w:val="28"/>
          <w:szCs w:val="28"/>
          <w:vertAlign w:val="subscript"/>
        </w:rPr>
        <w:t>из</w:t>
      </w:r>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4"/>
          <w:sz w:val="28"/>
          <w:szCs w:val="28"/>
        </w:rPr>
        <w:object w:dxaOrig="1420" w:dyaOrig="639">
          <v:shape id="_x0000_i1031" type="#_x0000_t75" style="width:71.25pt;height:32.25pt" o:ole="">
            <v:imagedata r:id="rId23" o:title=""/>
          </v:shape>
          <o:OLEObject Type="Embed" ProgID="Equation.DSMT4" ShapeID="_x0000_i1031" DrawAspect="Content" ObjectID="_1640505575" r:id="rId24"/>
        </w:object>
      </w:r>
      <w:r w:rsidRPr="006D1B02">
        <w:rPr>
          <w:sz w:val="28"/>
          <w:szCs w:val="28"/>
        </w:rPr>
        <w:t xml:space="preserve">                                                        (7)</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jc w:val="both"/>
        <w:rPr>
          <w:rStyle w:val="apple-converted-space"/>
          <w:rFonts w:eastAsia="Calibri"/>
          <w:sz w:val="28"/>
          <w:szCs w:val="28"/>
        </w:rPr>
      </w:pPr>
      <w:r w:rsidRPr="006D1B02">
        <w:rPr>
          <w:sz w:val="28"/>
          <w:szCs w:val="28"/>
        </w:rPr>
        <w:t>где</w:t>
      </w:r>
      <w:r w:rsidRPr="006D1B02">
        <w:rPr>
          <w:rStyle w:val="apple-converted-space"/>
          <w:rFonts w:eastAsia="Calibri"/>
          <w:sz w:val="28"/>
          <w:szCs w:val="28"/>
        </w:rPr>
        <w:t> </w:t>
      </w:r>
      <w:r w:rsidRPr="006D1B02">
        <w:rPr>
          <w:rStyle w:val="ab"/>
          <w:sz w:val="28"/>
          <w:szCs w:val="28"/>
        </w:rPr>
        <w:t>Е</w:t>
      </w:r>
      <w:r w:rsidRPr="006D1B02">
        <w:rPr>
          <w:rStyle w:val="apple-converted-space"/>
          <w:rFonts w:eastAsia="Calibri"/>
          <w:i/>
          <w:sz w:val="28"/>
          <w:szCs w:val="28"/>
        </w:rPr>
        <w:t> </w:t>
      </w:r>
      <w:r w:rsidRPr="006D1B02">
        <w:rPr>
          <w:sz w:val="28"/>
          <w:szCs w:val="28"/>
        </w:rPr>
        <w:t>- модуль упругости материала проволоки, равный 2,1 · 10</w:t>
      </w:r>
      <w:r w:rsidRPr="006D1B02">
        <w:rPr>
          <w:sz w:val="28"/>
          <w:szCs w:val="28"/>
          <w:vertAlign w:val="superscript"/>
        </w:rPr>
        <w:t>11</w:t>
      </w:r>
      <w:r w:rsidRPr="006D1B02">
        <w:rPr>
          <w:rStyle w:val="apple-converted-space"/>
          <w:rFonts w:eastAsia="Calibri"/>
          <w:sz w:val="28"/>
          <w:szCs w:val="28"/>
        </w:rPr>
        <w:t> </w:t>
      </w:r>
      <w:r w:rsidRPr="006D1B02">
        <w:rPr>
          <w:sz w:val="28"/>
          <w:szCs w:val="28"/>
        </w:rPr>
        <w:t>Па;</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r w:rsidRPr="006D1B02">
        <w:rPr>
          <w:rStyle w:val="ab"/>
          <w:sz w:val="28"/>
          <w:szCs w:val="28"/>
        </w:rPr>
        <w:t xml:space="preserve"> D</w:t>
      </w:r>
      <w:r w:rsidRPr="006D1B02">
        <w:rPr>
          <w:rStyle w:val="apple-converted-space"/>
          <w:rFonts w:eastAsia="Calibri"/>
          <w:i/>
          <w:sz w:val="28"/>
          <w:szCs w:val="28"/>
        </w:rPr>
        <w:t> </w:t>
      </w:r>
      <w:r w:rsidRPr="006D1B02">
        <w:rPr>
          <w:sz w:val="28"/>
          <w:szCs w:val="28"/>
        </w:rPr>
        <w:t>- диаметр шкива кронблока, м.</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lastRenderedPageBreak/>
        <w:t>Суммарное напряжение (σ</w:t>
      </w:r>
      <w:r w:rsidRPr="006D1B02">
        <w:rPr>
          <w:sz w:val="28"/>
          <w:szCs w:val="28"/>
          <w:vertAlign w:val="subscript"/>
        </w:rPr>
        <w:t>сум</w:t>
      </w:r>
      <w:r w:rsidRPr="006D1B02">
        <w:rPr>
          <w:rStyle w:val="apple-converted-space"/>
          <w:rFonts w:eastAsia="Calibri"/>
          <w:sz w:val="28"/>
          <w:szCs w:val="28"/>
        </w:rPr>
        <w:t xml:space="preserve">, МПа) </w:t>
      </w:r>
      <w:r w:rsidRPr="006D1B02">
        <w:rPr>
          <w:sz w:val="28"/>
          <w:szCs w:val="28"/>
        </w:rPr>
        <w:t>от растяжения и изгиба определяется по формуле</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16"/>
          <w:sz w:val="28"/>
          <w:szCs w:val="28"/>
        </w:rPr>
        <w:object w:dxaOrig="1460" w:dyaOrig="400">
          <v:shape id="_x0000_i1032" type="#_x0000_t75" style="width:72.75pt;height:20.25pt" o:ole="">
            <v:imagedata r:id="rId25" o:title=""/>
          </v:shape>
          <o:OLEObject Type="Embed" ProgID="Equation.DSMT4" ShapeID="_x0000_i1032" DrawAspect="Content" ObjectID="_1640505576" r:id="rId26"/>
        </w:object>
      </w:r>
      <w:r w:rsidRPr="006D1B02">
        <w:rPr>
          <w:sz w:val="28"/>
          <w:szCs w:val="28"/>
        </w:rPr>
        <w:t xml:space="preserve">                                                       (8)</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Запас прочности</w:t>
      </w:r>
      <w:r w:rsidRPr="006D1B02">
        <w:rPr>
          <w:rStyle w:val="apple-converted-space"/>
          <w:rFonts w:eastAsia="Calibri"/>
          <w:sz w:val="28"/>
          <w:szCs w:val="28"/>
        </w:rPr>
        <w:t> </w:t>
      </w:r>
      <w:r w:rsidRPr="006D1B02">
        <w:rPr>
          <w:rStyle w:val="ab"/>
          <w:sz w:val="28"/>
          <w:szCs w:val="28"/>
        </w:rPr>
        <w:t>К</w:t>
      </w:r>
      <w:r w:rsidRPr="006D1B02">
        <w:rPr>
          <w:rStyle w:val="apple-converted-space"/>
          <w:rFonts w:eastAsia="Calibri"/>
          <w:i/>
          <w:sz w:val="28"/>
          <w:szCs w:val="28"/>
        </w:rPr>
        <w:t> </w:t>
      </w:r>
      <w:r w:rsidRPr="006D1B02">
        <w:rPr>
          <w:sz w:val="28"/>
          <w:szCs w:val="28"/>
        </w:rPr>
        <w:t>определяется из соотношения</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34"/>
          <w:sz w:val="28"/>
          <w:szCs w:val="28"/>
        </w:rPr>
        <w:object w:dxaOrig="960" w:dyaOrig="720">
          <v:shape id="_x0000_i1033" type="#_x0000_t75" style="width:48pt;height:36pt" o:ole="">
            <v:imagedata r:id="rId27" o:title=""/>
          </v:shape>
          <o:OLEObject Type="Embed" ProgID="Equation.DSMT4" ShapeID="_x0000_i1033" DrawAspect="Content" ObjectID="_1640505577" r:id="rId28"/>
        </w:object>
      </w:r>
      <w:r w:rsidRPr="006D1B02">
        <w:rPr>
          <w:sz w:val="28"/>
          <w:szCs w:val="28"/>
        </w:rPr>
        <w:t xml:space="preserve">                                                         (9)</w:t>
      </w: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где σ</w:t>
      </w:r>
      <w:r w:rsidRPr="006D1B02">
        <w:rPr>
          <w:sz w:val="28"/>
          <w:szCs w:val="28"/>
          <w:vertAlign w:val="subscript"/>
        </w:rPr>
        <w:t>в</w:t>
      </w:r>
      <w:r w:rsidRPr="006D1B02">
        <w:rPr>
          <w:rStyle w:val="apple-converted-space"/>
          <w:rFonts w:eastAsia="Calibri"/>
          <w:sz w:val="28"/>
          <w:szCs w:val="28"/>
        </w:rPr>
        <w:t> </w:t>
      </w:r>
      <w:r w:rsidRPr="006D1B02">
        <w:rPr>
          <w:sz w:val="28"/>
          <w:szCs w:val="28"/>
        </w:rPr>
        <w:t>- предел прочности материала проволоки при растяжении, МПа.</w:t>
      </w:r>
    </w:p>
    <w:p w:rsidR="006D1B02" w:rsidRPr="006D1B02" w:rsidRDefault="006D1B02" w:rsidP="006D1B02">
      <w:pPr>
        <w:spacing w:after="0" w:line="240" w:lineRule="auto"/>
        <w:ind w:right="-284" w:firstLine="567"/>
        <w:jc w:val="both"/>
        <w:rPr>
          <w:rFonts w:ascii="Times New Roman" w:hAnsi="Times New Roman" w:cs="Times New Roman"/>
          <w:b/>
          <w:bCs/>
          <w:color w:val="00008B"/>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hAnsi="Times New Roman" w:cs="Times New Roman"/>
          <w:b/>
          <w:bCs/>
          <w:sz w:val="28"/>
          <w:szCs w:val="28"/>
        </w:rPr>
        <w:t xml:space="preserve">Тема 6. </w:t>
      </w:r>
      <w:r w:rsidR="006D1B02" w:rsidRPr="006D1B02">
        <w:rPr>
          <w:rFonts w:ascii="Times New Roman" w:hAnsi="Times New Roman" w:cs="Times New Roman"/>
          <w:b/>
          <w:sz w:val="28"/>
          <w:szCs w:val="28"/>
        </w:rPr>
        <w:t>Кислотные агрегаты</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кислотной обработки скважин СИН-32 на шасси Урал предназначена для транспортирования и нагнетания ингибированных растворов соляной кислоты с концентрацией до 35%, глинокислот (содержание HF до 5%, HCL до 24%), КСПО-2, растворов щелочей и солевых растворов.</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СИН-32 имеет оптимальное расположение органов управления, сниженный вес элементов манифольда, что облегчает работу обслуживающего персонала и повышает эксплуатационные качества установки. Управление и контроль работы установки осуществляется из кабины водителя. Емкость установки имеет внутреннее химостойкое покрытие, что обеспечивает долговременную защиту от воздействия кислот, а также позволяет проводить промывку горячей водой или паром.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Используемый насос высокого давления СИН-32 имеет небольшие габаритные размеры и массу, облегченное обслуживание и ремонт за счет соединения гидроблока шпильками с корпусом. Насос может работать с различными жидкостями за счет применения плунжеров с химически и эрозионно-стойкими покрытиями и уплотнений, стойких к агрессивным средам.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СИН-32 выпускается на шасси Урал-4320 с емкостью объемом 7 000 л (СИН-32.02), и на шасси Урал-55571 с емкостью объемом 5 000 л (СИН-32-03). Возможна установка трехсекционной емкости, позволяющей работать одновременно с тремя различными агрессивными жидкостями.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lastRenderedPageBreak/>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spacing w:after="0" w:line="240" w:lineRule="auto"/>
        <w:ind w:left="-284" w:right="-284" w:firstLine="851"/>
        <w:jc w:val="both"/>
        <w:rPr>
          <w:rFonts w:ascii="Times New Roman" w:hAnsi="Times New Roman" w:cs="Times New Roman"/>
          <w:b/>
          <w:sz w:val="28"/>
          <w:szCs w:val="28"/>
        </w:rPr>
      </w:pPr>
      <w:r w:rsidRPr="006D1B02">
        <w:rPr>
          <w:rFonts w:ascii="Times New Roman" w:hAnsi="Times New Roman" w:cs="Times New Roman"/>
          <w:sz w:val="28"/>
          <w:szCs w:val="28"/>
        </w:rPr>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D6ABA" w:rsidRPr="00587B18"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r w:rsidRPr="00587B18">
        <w:rPr>
          <w:rFonts w:ascii="Times New Roman" w:eastAsia="Times New Roman" w:hAnsi="Times New Roman" w:cs="Times New Roman"/>
          <w:sz w:val="28"/>
          <w:szCs w:val="28"/>
          <w:u w:val="single"/>
        </w:rPr>
        <w:t>.</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92161A" w:rsidRDefault="0092161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92161A" w:rsidRDefault="0092161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92161A" w:rsidRDefault="0092161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bookmarkStart w:id="3" w:name="_GoBack"/>
      <w:bookmarkEnd w:id="3"/>
    </w:p>
    <w:p w:rsidR="0092161A" w:rsidRDefault="00E12DD1" w:rsidP="0092161A">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92161A" w:rsidRPr="00545ABA">
        <w:rPr>
          <w:b/>
          <w:bCs/>
          <w:color w:val="000000"/>
          <w:sz w:val="28"/>
          <w:szCs w:val="28"/>
        </w:rPr>
        <w:t xml:space="preserve">Методические рекомендации по </w:t>
      </w:r>
      <w:r w:rsidR="0092161A">
        <w:rPr>
          <w:b/>
          <w:bCs/>
          <w:color w:val="000000"/>
          <w:sz w:val="28"/>
          <w:szCs w:val="28"/>
        </w:rPr>
        <w:t>подготовке к рубежному контролю</w:t>
      </w:r>
    </w:p>
    <w:p w:rsidR="0092161A" w:rsidRPr="00545ABA" w:rsidRDefault="0092161A" w:rsidP="0092161A">
      <w:pPr>
        <w:pStyle w:val="af3"/>
        <w:shd w:val="clear" w:color="auto" w:fill="FFFFFF"/>
        <w:spacing w:before="0" w:beforeAutospacing="0" w:after="0" w:afterAutospacing="0"/>
        <w:ind w:right="-1" w:firstLine="709"/>
        <w:jc w:val="both"/>
        <w:rPr>
          <w:b/>
          <w:color w:val="000000"/>
          <w:sz w:val="28"/>
          <w:szCs w:val="28"/>
        </w:rPr>
      </w:pPr>
    </w:p>
    <w:p w:rsidR="000E580E" w:rsidRDefault="0092161A" w:rsidP="0092161A">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Рубежный контроль студентов осуществляется в тестовой форме на 8 и 14 неделе каждого семестра. </w:t>
      </w:r>
      <w:r w:rsidR="000E580E">
        <w:rPr>
          <w:color w:val="000000"/>
          <w:sz w:val="28"/>
          <w:szCs w:val="28"/>
        </w:rPr>
        <w:t>Те</w:t>
      </w:r>
      <w:r w:rsidR="000E580E"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sidR="000E580E">
        <w:rPr>
          <w:color w:val="000000"/>
          <w:sz w:val="28"/>
          <w:szCs w:val="28"/>
        </w:rPr>
        <w:t xml:space="preserve"> </w:t>
      </w:r>
    </w:p>
    <w:p w:rsidR="000E580E" w:rsidRDefault="000E580E" w:rsidP="000E580E">
      <w:pPr>
        <w:spacing w:after="0" w:line="240" w:lineRule="auto"/>
        <w:ind w:firstLine="567"/>
        <w:jc w:val="both"/>
        <w:rPr>
          <w:rFonts w:ascii="Times New Roman" w:eastAsia="Times New Roman" w:hAnsi="Times New Roman"/>
          <w:bCs/>
          <w:sz w:val="28"/>
          <w:szCs w:val="28"/>
        </w:rPr>
      </w:pPr>
    </w:p>
    <w:p w:rsidR="000E580E" w:rsidRPr="00545ABA" w:rsidRDefault="000E580E" w:rsidP="000E580E">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sidR="0073701C">
        <w:rPr>
          <w:b/>
          <w:bCs/>
          <w:color w:val="000000"/>
          <w:sz w:val="28"/>
          <w:szCs w:val="28"/>
        </w:rPr>
        <w:t>зачету</w:t>
      </w:r>
    </w:p>
    <w:p w:rsidR="000E580E" w:rsidRPr="00545ABA" w:rsidRDefault="000E580E" w:rsidP="000E580E">
      <w:pPr>
        <w:pStyle w:val="af3"/>
        <w:shd w:val="clear" w:color="auto" w:fill="FFFFFF"/>
        <w:spacing w:before="0" w:beforeAutospacing="0" w:after="0" w:afterAutospacing="0"/>
        <w:ind w:right="-1" w:firstLine="709"/>
        <w:rPr>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sidR="0073701C">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p w:rsidR="000E580E" w:rsidRDefault="000E580E" w:rsidP="004E25F0">
      <w:pPr>
        <w:spacing w:after="0" w:line="240" w:lineRule="auto"/>
        <w:jc w:val="both"/>
        <w:rPr>
          <w:rFonts w:ascii="Times New Roman" w:eastAsia="Times New Roman" w:hAnsi="Times New Roman"/>
          <w:bCs/>
          <w:sz w:val="28"/>
          <w:szCs w:val="28"/>
        </w:rPr>
      </w:pPr>
    </w:p>
    <w:p w:rsidR="000E580E" w:rsidRPr="00383166" w:rsidRDefault="000E580E" w:rsidP="000E580E">
      <w:pPr>
        <w:spacing w:after="0" w:line="240" w:lineRule="auto"/>
        <w:ind w:firstLine="567"/>
        <w:jc w:val="both"/>
        <w:rPr>
          <w:rFonts w:ascii="Times New Roman" w:eastAsia="Times New Roman" w:hAnsi="Times New Roman"/>
          <w:bCs/>
          <w:sz w:val="28"/>
          <w:szCs w:val="28"/>
        </w:rPr>
      </w:pPr>
    </w:p>
    <w:p w:rsidR="000E580E" w:rsidRPr="00383166" w:rsidRDefault="000E580E" w:rsidP="000E580E">
      <w:pPr>
        <w:spacing w:after="0" w:line="240" w:lineRule="auto"/>
        <w:ind w:firstLine="567"/>
        <w:jc w:val="both"/>
        <w:rPr>
          <w:rFonts w:ascii="Times New Roman" w:eastAsia="Times New Roman" w:hAnsi="Times New Roman"/>
          <w:spacing w:val="-1"/>
          <w:sz w:val="28"/>
          <w:szCs w:val="28"/>
        </w:rPr>
      </w:pPr>
    </w:p>
    <w:p w:rsidR="000E580E" w:rsidRDefault="000E580E" w:rsidP="000E580E">
      <w:pPr>
        <w:pStyle w:val="a7"/>
        <w:suppressLineNumbers/>
        <w:ind w:right="-1" w:firstLine="567"/>
        <w:jc w:val="both"/>
        <w:rPr>
          <w:b/>
        </w:rPr>
      </w:pPr>
    </w:p>
    <w:sectPr w:rsidR="000E580E"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371" w:rsidRDefault="002B7371" w:rsidP="00382D68">
      <w:pPr>
        <w:spacing w:after="0" w:line="240" w:lineRule="auto"/>
      </w:pPr>
      <w:r>
        <w:separator/>
      </w:r>
    </w:p>
  </w:endnote>
  <w:endnote w:type="continuationSeparator" w:id="0">
    <w:p w:rsidR="002B7371" w:rsidRDefault="002B7371"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4E25F0">
          <w:rPr>
            <w:noProof/>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371" w:rsidRDefault="002B7371" w:rsidP="00382D68">
      <w:pPr>
        <w:spacing w:after="0" w:line="240" w:lineRule="auto"/>
      </w:pPr>
      <w:r>
        <w:separator/>
      </w:r>
    </w:p>
  </w:footnote>
  <w:footnote w:type="continuationSeparator" w:id="0">
    <w:p w:rsidR="002B7371" w:rsidRDefault="002B7371"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B2706"/>
    <w:multiLevelType w:val="multilevel"/>
    <w:tmpl w:val="2F5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5">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6">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7">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0">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1">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4">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6">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7">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9">
    <w:nsid w:val="359966D8"/>
    <w:multiLevelType w:val="multilevel"/>
    <w:tmpl w:val="4E02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415845"/>
    <w:multiLevelType w:val="multilevel"/>
    <w:tmpl w:val="315A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9">
    <w:nsid w:val="52BB2015"/>
    <w:multiLevelType w:val="multilevel"/>
    <w:tmpl w:val="D9B8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31">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7">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42">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5">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7">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8"/>
  </w:num>
  <w:num w:numId="3">
    <w:abstractNumId w:val="25"/>
  </w:num>
  <w:num w:numId="4">
    <w:abstractNumId w:val="3"/>
  </w:num>
  <w:num w:numId="5">
    <w:abstractNumId w:val="32"/>
  </w:num>
  <w:num w:numId="6">
    <w:abstractNumId w:val="11"/>
  </w:num>
  <w:num w:numId="7">
    <w:abstractNumId w:val="35"/>
  </w:num>
  <w:num w:numId="8">
    <w:abstractNumId w:val="26"/>
  </w:num>
  <w:num w:numId="9">
    <w:abstractNumId w:val="34"/>
  </w:num>
  <w:num w:numId="10">
    <w:abstractNumId w:val="33"/>
  </w:num>
  <w:num w:numId="11">
    <w:abstractNumId w:val="43"/>
  </w:num>
  <w:num w:numId="12">
    <w:abstractNumId w:val="7"/>
  </w:num>
  <w:num w:numId="13">
    <w:abstractNumId w:val="8"/>
  </w:num>
  <w:num w:numId="14">
    <w:abstractNumId w:val="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3"/>
  </w:num>
  <w:num w:numId="23">
    <w:abstractNumId w:val="45"/>
  </w:num>
  <w:num w:numId="24">
    <w:abstractNumId w:val="17"/>
  </w:num>
  <w:num w:numId="25">
    <w:abstractNumId w:val="14"/>
  </w:num>
  <w:num w:numId="26">
    <w:abstractNumId w:val="22"/>
  </w:num>
  <w:num w:numId="27">
    <w:abstractNumId w:val="47"/>
  </w:num>
  <w:num w:numId="28">
    <w:abstractNumId w:val="27"/>
  </w:num>
  <w:num w:numId="29">
    <w:abstractNumId w:val="37"/>
  </w:num>
  <w:num w:numId="30">
    <w:abstractNumId w:val="16"/>
  </w:num>
  <w:num w:numId="31">
    <w:abstractNumId w:val="49"/>
  </w:num>
  <w:num w:numId="32">
    <w:abstractNumId w:val="40"/>
  </w:num>
  <w:num w:numId="33">
    <w:abstractNumId w:val="12"/>
  </w:num>
  <w:num w:numId="34">
    <w:abstractNumId w:val="38"/>
  </w:num>
  <w:num w:numId="35">
    <w:abstractNumId w:val="24"/>
  </w:num>
  <w:num w:numId="36">
    <w:abstractNumId w:val="6"/>
  </w:num>
  <w:num w:numId="37">
    <w:abstractNumId w:val="15"/>
  </w:num>
  <w:num w:numId="38">
    <w:abstractNumId w:val="30"/>
  </w:num>
  <w:num w:numId="39">
    <w:abstractNumId w:val="36"/>
  </w:num>
  <w:num w:numId="40">
    <w:abstractNumId w:val="41"/>
  </w:num>
  <w:num w:numId="41">
    <w:abstractNumId w:val="10"/>
  </w:num>
  <w:num w:numId="42">
    <w:abstractNumId w:val="5"/>
  </w:num>
  <w:num w:numId="43">
    <w:abstractNumId w:val="28"/>
  </w:num>
  <w:num w:numId="44">
    <w:abstractNumId w:val="13"/>
  </w:num>
  <w:num w:numId="45">
    <w:abstractNumId w:val="4"/>
  </w:num>
  <w:num w:numId="46">
    <w:abstractNumId w:val="46"/>
  </w:num>
  <w:num w:numId="47">
    <w:abstractNumId w:val="19"/>
  </w:num>
  <w:num w:numId="48">
    <w:abstractNumId w:val="20"/>
  </w:num>
  <w:num w:numId="49">
    <w:abstractNumId w:val="29"/>
  </w:num>
  <w:num w:numId="5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60D5"/>
    <w:rsid w:val="002A7DA4"/>
    <w:rsid w:val="002B7371"/>
    <w:rsid w:val="002C768D"/>
    <w:rsid w:val="002C7AC3"/>
    <w:rsid w:val="002D0423"/>
    <w:rsid w:val="002D3CBD"/>
    <w:rsid w:val="002D4F62"/>
    <w:rsid w:val="002F0BFF"/>
    <w:rsid w:val="002F2232"/>
    <w:rsid w:val="003008D1"/>
    <w:rsid w:val="003106DA"/>
    <w:rsid w:val="00312F48"/>
    <w:rsid w:val="00331812"/>
    <w:rsid w:val="00334770"/>
    <w:rsid w:val="00337794"/>
    <w:rsid w:val="003469FD"/>
    <w:rsid w:val="00347E5A"/>
    <w:rsid w:val="00350AD1"/>
    <w:rsid w:val="00352F8B"/>
    <w:rsid w:val="00360405"/>
    <w:rsid w:val="00364C86"/>
    <w:rsid w:val="00382D68"/>
    <w:rsid w:val="0039068A"/>
    <w:rsid w:val="003A0147"/>
    <w:rsid w:val="003A691A"/>
    <w:rsid w:val="003B1A6C"/>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4E25F0"/>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2161A"/>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37C8D"/>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55F79"/>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B0A4-AEEF-4FE3-A7D0-63ACF5CB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7398</Words>
  <Characters>42174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27</cp:revision>
  <cp:lastPrinted>2020-01-14T13:13:00Z</cp:lastPrinted>
  <dcterms:created xsi:type="dcterms:W3CDTF">2017-09-05T11:04:00Z</dcterms:created>
  <dcterms:modified xsi:type="dcterms:W3CDTF">2020-01-14T13:13:00Z</dcterms:modified>
</cp:coreProperties>
</file>