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Кафедра гражданского права и процесса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B726F9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390D">
        <w:rPr>
          <w:i/>
          <w:sz w:val="24"/>
          <w:u w:val="single"/>
        </w:rPr>
        <w:t>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25153D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2016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 П. Бас</w:t>
      </w:r>
      <w:r w:rsidR="00F963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25153D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2016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CA390D" w:rsidRPr="00CA390D" w:rsidRDefault="0025153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«___»______________2016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F96312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>выполнению контрольной работы..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B726F9">
        <w:rPr>
          <w:rFonts w:ascii="Times New Roman" w:hAnsi="Times New Roman" w:cs="Times New Roman"/>
          <w:sz w:val="28"/>
          <w:szCs w:val="28"/>
        </w:rPr>
        <w:t>23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2D5" w:rsidRDefault="001122D5" w:rsidP="001122D5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1122D5" w:rsidRPr="00F73033" w:rsidRDefault="001122D5" w:rsidP="001122D5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1122D5" w:rsidRPr="00F73033" w:rsidRDefault="001122D5" w:rsidP="001122D5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1122D5" w:rsidRPr="00F73033" w:rsidRDefault="001122D5" w:rsidP="001122D5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1122D5" w:rsidRPr="00F73033" w:rsidRDefault="001122D5" w:rsidP="001122D5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1122D5" w:rsidRPr="00F73033" w:rsidRDefault="001122D5" w:rsidP="001122D5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1122D5" w:rsidRPr="00F73033" w:rsidRDefault="001122D5" w:rsidP="001122D5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lastRenderedPageBreak/>
        <w:t>5. Сущность и значение стадии возбуждения дела в арбитражном суде.</w:t>
      </w:r>
    </w:p>
    <w:p w:rsidR="001122D5" w:rsidRPr="00F73033" w:rsidRDefault="001122D5" w:rsidP="001122D5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1122D5" w:rsidRPr="00F73033" w:rsidRDefault="001122D5" w:rsidP="001122D5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1122D5" w:rsidRPr="00F73033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1122D5" w:rsidRPr="00F73033" w:rsidRDefault="001122D5" w:rsidP="001122D5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1122D5" w:rsidRPr="00F73033" w:rsidRDefault="001122D5" w:rsidP="001122D5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1122D5" w:rsidRPr="00F73033" w:rsidRDefault="001122D5" w:rsidP="001122D5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1122D5" w:rsidRPr="00F73033" w:rsidRDefault="001122D5" w:rsidP="001122D5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1122D5" w:rsidRPr="00F73033" w:rsidRDefault="001122D5" w:rsidP="001122D5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1122D5" w:rsidRPr="00F73033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1122D5" w:rsidRPr="00F73033" w:rsidRDefault="001122D5" w:rsidP="001122D5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1122D5" w:rsidRPr="00F73033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1122D5" w:rsidRPr="00F73033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1122D5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1122D5" w:rsidRPr="00F73033" w:rsidRDefault="001122D5" w:rsidP="001122D5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1122D5" w:rsidRPr="00F73033" w:rsidRDefault="001122D5" w:rsidP="001122D5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1122D5" w:rsidRPr="00F73033" w:rsidRDefault="001122D5" w:rsidP="001122D5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Default="001122D5" w:rsidP="001122D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Международная подсудность. Значение и истоки вопроса. Связь подсудности со способом защиты. Системы определения подсудности. Пророгационные и дерогационные соглашения</w:t>
      </w:r>
    </w:p>
    <w:p w:rsidR="001122D5" w:rsidRPr="003C6536" w:rsidRDefault="001122D5" w:rsidP="001122D5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122D5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1122D5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1122D5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112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122D5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1122D5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bookmarkStart w:id="1" w:name="_GoBack"/>
      <w:bookmarkEnd w:id="1"/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A8154C" w:rsidRDefault="00A8154C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4C" w:rsidRPr="00A8154C" w:rsidRDefault="00A8154C" w:rsidP="00A8154C">
      <w:pPr>
        <w:spacing w:after="0" w:line="240" w:lineRule="auto"/>
        <w:ind w:left="142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15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3.10 Контроль и управление самостоятельной работой студентов </w:t>
      </w:r>
    </w:p>
    <w:p w:rsidR="00A8154C" w:rsidRPr="00A8154C" w:rsidRDefault="00A8154C" w:rsidP="00A8154C">
      <w:pPr>
        <w:spacing w:after="0" w:line="240" w:lineRule="auto"/>
        <w:ind w:left="-567" w:right="-14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«хорошо» - студент показывает глубокие знания программного материала, грамотно его излагает, достаточно полно отвечает на </w:t>
      </w: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Шкала оценивания при тестировании: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«отлично» -  свыше 80% правильных ответов;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 60–79% правильных ответов;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- 40–59% правильных ответов;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«неудовлетворительно» - менее 40% правильных ответов.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«отлично» - </w:t>
      </w: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«хорошо» - </w:t>
      </w: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- задание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ответа;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ситуационных задач разрешено пользоваться курсом лекций или учебниками.</w:t>
      </w:r>
      <w:r w:rsidRPr="00A815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</w:t>
      </w: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правильно обосновывает принятое решение, владеет разносторонними навыками и приемами выполнения практических заданий. 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54C" w:rsidRDefault="00A8154C" w:rsidP="00A8154C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заданий.</w:t>
      </w:r>
      <w:r w:rsidRPr="00A8154C">
        <w:rPr>
          <w:rFonts w:eastAsia="Times New Roman"/>
          <w:color w:val="000000"/>
          <w:sz w:val="28"/>
          <w:szCs w:val="28"/>
        </w:rPr>
        <w:t xml:space="preserve"> </w:t>
      </w: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A8154C" w:rsidRPr="00A8154C" w:rsidRDefault="00A8154C" w:rsidP="00A815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5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задания.</w:t>
      </w: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78" w:rsidRDefault="007F4978" w:rsidP="009C4F41">
      <w:pPr>
        <w:spacing w:after="0" w:line="240" w:lineRule="auto"/>
      </w:pPr>
      <w:r>
        <w:separator/>
      </w:r>
    </w:p>
  </w:endnote>
  <w:endnote w:type="continuationSeparator" w:id="0">
    <w:p w:rsidR="007F4978" w:rsidRDefault="007F4978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1122D5">
          <w:rPr>
            <w:rFonts w:ascii="Times New Roman" w:hAnsi="Times New Roman" w:cs="Times New Roman"/>
            <w:noProof/>
            <w:sz w:val="24"/>
          </w:rPr>
          <w:t>19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78" w:rsidRDefault="007F4978" w:rsidP="009C4F41">
      <w:pPr>
        <w:spacing w:after="0" w:line="240" w:lineRule="auto"/>
      </w:pPr>
      <w:r>
        <w:separator/>
      </w:r>
    </w:p>
  </w:footnote>
  <w:footnote w:type="continuationSeparator" w:id="0">
    <w:p w:rsidR="007F4978" w:rsidRDefault="007F4978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529D"/>
    <w:rsid w:val="00093F2F"/>
    <w:rsid w:val="000957DB"/>
    <w:rsid w:val="000B4C02"/>
    <w:rsid w:val="001122D5"/>
    <w:rsid w:val="00181518"/>
    <w:rsid w:val="0019301A"/>
    <w:rsid w:val="001D4B3D"/>
    <w:rsid w:val="0025153D"/>
    <w:rsid w:val="00262223"/>
    <w:rsid w:val="002700DD"/>
    <w:rsid w:val="002B3294"/>
    <w:rsid w:val="00311901"/>
    <w:rsid w:val="0034585D"/>
    <w:rsid w:val="003C6536"/>
    <w:rsid w:val="003E0F16"/>
    <w:rsid w:val="003E2504"/>
    <w:rsid w:val="003F7C7A"/>
    <w:rsid w:val="00422C8C"/>
    <w:rsid w:val="00437874"/>
    <w:rsid w:val="00496F2C"/>
    <w:rsid w:val="004B71DC"/>
    <w:rsid w:val="00514FF3"/>
    <w:rsid w:val="00566F3F"/>
    <w:rsid w:val="005D68F2"/>
    <w:rsid w:val="006A2CCB"/>
    <w:rsid w:val="006F462B"/>
    <w:rsid w:val="006F5040"/>
    <w:rsid w:val="007331A3"/>
    <w:rsid w:val="007643D6"/>
    <w:rsid w:val="00776ECC"/>
    <w:rsid w:val="007F4978"/>
    <w:rsid w:val="00844069"/>
    <w:rsid w:val="008666AF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8154C"/>
    <w:rsid w:val="00AA1506"/>
    <w:rsid w:val="00AD16C3"/>
    <w:rsid w:val="00B726F9"/>
    <w:rsid w:val="00BA7074"/>
    <w:rsid w:val="00BB6363"/>
    <w:rsid w:val="00BC5AE7"/>
    <w:rsid w:val="00C05FA7"/>
    <w:rsid w:val="00C07FDF"/>
    <w:rsid w:val="00C61590"/>
    <w:rsid w:val="00C91CA6"/>
    <w:rsid w:val="00CA390D"/>
    <w:rsid w:val="00CA77E5"/>
    <w:rsid w:val="00D10E9D"/>
    <w:rsid w:val="00D4485A"/>
    <w:rsid w:val="00D47509"/>
    <w:rsid w:val="00DB1F55"/>
    <w:rsid w:val="00DC59B8"/>
    <w:rsid w:val="00E36D9E"/>
    <w:rsid w:val="00E63C7C"/>
    <w:rsid w:val="00F37DA8"/>
    <w:rsid w:val="00F4178F"/>
    <w:rsid w:val="00F72274"/>
    <w:rsid w:val="00F96312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B7630-FA68-4F0E-A86A-80BCD1D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4D83-7255-4565-BF71-C276BD2D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7</cp:revision>
  <cp:lastPrinted>2019-10-13T10:05:00Z</cp:lastPrinted>
  <dcterms:created xsi:type="dcterms:W3CDTF">2019-10-13T10:06:00Z</dcterms:created>
  <dcterms:modified xsi:type="dcterms:W3CDTF">2019-12-13T05:49:00Z</dcterms:modified>
</cp:coreProperties>
</file>