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3A" w:rsidRDefault="0065033A" w:rsidP="0065033A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65033A" w:rsidRDefault="0065033A" w:rsidP="0065033A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65033A" w:rsidRDefault="0065033A" w:rsidP="0065033A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65033A" w:rsidRDefault="0065033A" w:rsidP="0065033A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65033A" w:rsidRDefault="0065033A" w:rsidP="0065033A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65033A" w:rsidRDefault="0065033A" w:rsidP="0065033A">
      <w:pPr>
        <w:pStyle w:val="ReportHead"/>
        <w:suppressAutoHyphens/>
        <w:rPr>
          <w:sz w:val="24"/>
        </w:rPr>
      </w:pPr>
    </w:p>
    <w:p w:rsidR="0065033A" w:rsidRDefault="0065033A" w:rsidP="0065033A">
      <w:pPr>
        <w:pStyle w:val="ReportHead"/>
        <w:suppressAutoHyphens/>
        <w:rPr>
          <w:sz w:val="24"/>
        </w:rPr>
      </w:pPr>
      <w:r>
        <w:rPr>
          <w:sz w:val="24"/>
        </w:rPr>
        <w:t>Кафедра общепрофессиональных и технических дисциплин</w:t>
      </w:r>
    </w:p>
    <w:p w:rsidR="0065033A" w:rsidRDefault="0065033A" w:rsidP="0065033A">
      <w:pPr>
        <w:pStyle w:val="ReportHead"/>
        <w:suppressAutoHyphens/>
        <w:rPr>
          <w:sz w:val="24"/>
        </w:rPr>
      </w:pPr>
    </w:p>
    <w:p w:rsidR="0065033A" w:rsidRDefault="0065033A" w:rsidP="0065033A">
      <w:pPr>
        <w:pStyle w:val="ReportHead"/>
        <w:suppressAutoHyphens/>
        <w:rPr>
          <w:sz w:val="24"/>
        </w:rPr>
      </w:pPr>
    </w:p>
    <w:p w:rsidR="0065033A" w:rsidRDefault="0065033A" w:rsidP="0065033A">
      <w:pPr>
        <w:pStyle w:val="ReportHead"/>
        <w:suppressAutoHyphens/>
        <w:jc w:val="left"/>
        <w:rPr>
          <w:sz w:val="24"/>
        </w:rPr>
      </w:pPr>
    </w:p>
    <w:p w:rsidR="0065033A" w:rsidRDefault="0065033A" w:rsidP="0065033A">
      <w:pPr>
        <w:pStyle w:val="ReportHead"/>
        <w:suppressAutoHyphens/>
        <w:jc w:val="left"/>
        <w:rPr>
          <w:sz w:val="24"/>
        </w:rPr>
      </w:pPr>
    </w:p>
    <w:p w:rsidR="0065033A" w:rsidRDefault="0065033A" w:rsidP="0065033A">
      <w:pPr>
        <w:pStyle w:val="ReportHead"/>
        <w:suppressAutoHyphens/>
        <w:jc w:val="left"/>
        <w:rPr>
          <w:sz w:val="24"/>
        </w:rPr>
      </w:pPr>
    </w:p>
    <w:p w:rsidR="0065033A" w:rsidRDefault="0065033A" w:rsidP="0065033A">
      <w:pPr>
        <w:pStyle w:val="ReportHead"/>
        <w:suppressAutoHyphens/>
        <w:jc w:val="left"/>
        <w:rPr>
          <w:sz w:val="24"/>
        </w:rPr>
      </w:pPr>
    </w:p>
    <w:p w:rsidR="0065033A" w:rsidRDefault="0065033A" w:rsidP="0065033A">
      <w:pPr>
        <w:pStyle w:val="ReportHead"/>
        <w:suppressAutoHyphens/>
        <w:jc w:val="left"/>
        <w:rPr>
          <w:sz w:val="24"/>
        </w:rPr>
      </w:pPr>
    </w:p>
    <w:p w:rsidR="0065033A" w:rsidRDefault="0065033A" w:rsidP="0065033A">
      <w:pPr>
        <w:pStyle w:val="ReportHead"/>
        <w:suppressAutoHyphens/>
        <w:rPr>
          <w:sz w:val="24"/>
        </w:rPr>
      </w:pPr>
    </w:p>
    <w:p w:rsidR="0065033A" w:rsidRDefault="0065033A" w:rsidP="0065033A">
      <w:pPr>
        <w:pStyle w:val="ReportHead"/>
        <w:suppressAutoHyphens/>
        <w:rPr>
          <w:sz w:val="24"/>
        </w:rPr>
      </w:pPr>
    </w:p>
    <w:p w:rsidR="0065033A" w:rsidRDefault="0065033A" w:rsidP="0065033A">
      <w:pPr>
        <w:pStyle w:val="ReportHead"/>
        <w:suppressAutoHyphens/>
        <w:spacing w:before="120"/>
        <w:rPr>
          <w:b/>
        </w:rPr>
      </w:pPr>
      <w:r>
        <w:rPr>
          <w:rFonts w:ascii="TimesNewRomanPSMT" w:hAnsi="TimesNewRomanPSMT" w:cs="TimesNewRomanPSMT"/>
          <w:szCs w:val="28"/>
        </w:rPr>
        <w:t xml:space="preserve">Методические указания для </w:t>
      </w:r>
      <w:proofErr w:type="gramStart"/>
      <w:r>
        <w:rPr>
          <w:rFonts w:ascii="TimesNewRomanPSMT" w:hAnsi="TimesNewRomanPSMT" w:cs="TimesNewRomanPSMT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szCs w:val="28"/>
        </w:rPr>
        <w:t xml:space="preserve"> по освоению практики</w:t>
      </w:r>
    </w:p>
    <w:p w:rsidR="0065033A" w:rsidRDefault="0065033A" w:rsidP="0065033A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</w:t>
      </w:r>
      <w:proofErr w:type="gramStart"/>
      <w:r>
        <w:rPr>
          <w:i/>
          <w:sz w:val="24"/>
        </w:rPr>
        <w:t>2</w:t>
      </w:r>
      <w:proofErr w:type="gramEnd"/>
      <w:r>
        <w:rPr>
          <w:i/>
          <w:sz w:val="24"/>
        </w:rPr>
        <w:t>.П.В.У.1 Практика по получению профессиональных умений и опыта профессиональной деятельности»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учебная практика </w:t>
      </w:r>
      <w:r>
        <w:rPr>
          <w:i/>
          <w:sz w:val="24"/>
          <w:u w:val="single"/>
        </w:rPr>
        <w:tab/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практика по получению профессиональных умений и опыта профессиональной деятельности </w:t>
      </w:r>
      <w:r>
        <w:rPr>
          <w:i/>
          <w:sz w:val="24"/>
          <w:u w:val="single"/>
        </w:rPr>
        <w:tab/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Форма </w:t>
      </w:r>
      <w:r>
        <w:rPr>
          <w:i/>
          <w:sz w:val="24"/>
          <w:u w:val="single"/>
        </w:rPr>
        <w:tab/>
        <w:t xml:space="preserve"> дискретная по видам практик </w:t>
      </w:r>
      <w:r>
        <w:rPr>
          <w:i/>
          <w:sz w:val="24"/>
          <w:u w:val="single"/>
        </w:rPr>
        <w:tab/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непрерывная, дискретная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(нефтегазодобыча)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Квалификация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65033A" w:rsidRDefault="00184AB6" w:rsidP="0065033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bookmarkStart w:id="0" w:name="_GoBack"/>
      <w:bookmarkEnd w:id="0"/>
      <w:r w:rsidR="0065033A">
        <w:rPr>
          <w:i/>
          <w:sz w:val="24"/>
          <w:u w:val="single"/>
        </w:rPr>
        <w:t>чная</w:t>
      </w: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65033A" w:rsidRDefault="0065033A" w:rsidP="0065033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E01DB3" w:rsidRPr="00E72456" w:rsidRDefault="0065033A" w:rsidP="0065033A">
      <w:pPr>
        <w:suppressAutoHyphens/>
        <w:jc w:val="center"/>
        <w:rPr>
          <w:rFonts w:eastAsiaTheme="minorHAnsi"/>
          <w:sz w:val="28"/>
          <w:szCs w:val="22"/>
          <w:lang w:eastAsia="en-US"/>
        </w:rPr>
        <w:sectPr w:rsidR="00E01DB3" w:rsidRPr="00E72456" w:rsidSect="00214421">
          <w:footerReference w:type="default" r:id="rId9"/>
          <w:pgSz w:w="11906" w:h="16838"/>
          <w:pgMar w:top="1134" w:right="567" w:bottom="1134" w:left="1418" w:header="0" w:footer="510" w:gutter="0"/>
          <w:pgNumType w:start="1"/>
          <w:cols w:space="708"/>
          <w:titlePg/>
          <w:docGrid w:linePitch="360"/>
        </w:sectPr>
      </w:pPr>
      <w:r>
        <w:t>Год набора 2022</w:t>
      </w:r>
    </w:p>
    <w:p w:rsidR="004269E2" w:rsidRPr="004269E2" w:rsidRDefault="004269E2" w:rsidP="0021442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269E2">
        <w:rPr>
          <w:rFonts w:eastAsia="Calibri"/>
          <w:sz w:val="28"/>
          <w:szCs w:val="28"/>
          <w:lang w:eastAsia="en-US"/>
        </w:rPr>
        <w:lastRenderedPageBreak/>
        <w:t>Составител</w:t>
      </w:r>
      <w:r w:rsidR="007A2F34">
        <w:rPr>
          <w:rFonts w:eastAsia="Calibri"/>
          <w:sz w:val="28"/>
          <w:szCs w:val="28"/>
          <w:lang w:eastAsia="en-US"/>
        </w:rPr>
        <w:t>ь</w:t>
      </w:r>
      <w:r w:rsidRPr="004269E2">
        <w:rPr>
          <w:rFonts w:eastAsia="Calibri"/>
          <w:sz w:val="28"/>
          <w:szCs w:val="28"/>
          <w:lang w:eastAsia="en-US"/>
        </w:rPr>
        <w:t xml:space="preserve"> _____________________ </w:t>
      </w:r>
      <w:r w:rsidR="0065033A">
        <w:rPr>
          <w:rFonts w:eastAsia="Calibri"/>
          <w:sz w:val="28"/>
          <w:szCs w:val="28"/>
          <w:lang w:eastAsia="en-US"/>
        </w:rPr>
        <w:t>А.В. Сидоров</w:t>
      </w:r>
    </w:p>
    <w:p w:rsid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673B1" w:rsidRPr="007673B1" w:rsidRDefault="007673B1" w:rsidP="007673B1">
      <w:pPr>
        <w:suppressAutoHyphens/>
        <w:spacing w:line="360" w:lineRule="auto"/>
        <w:rPr>
          <w:kern w:val="1"/>
          <w:sz w:val="28"/>
          <w:szCs w:val="28"/>
          <w:lang w:eastAsia="hi-IN" w:bidi="hi-IN"/>
        </w:rPr>
      </w:pPr>
      <w:r w:rsidRPr="007673B1">
        <w:rPr>
          <w:kern w:val="1"/>
          <w:sz w:val="28"/>
          <w:szCs w:val="28"/>
          <w:lang w:eastAsia="hi-IN" w:bidi="hi-IN"/>
        </w:rPr>
        <w:t>«___»______________</w:t>
      </w:r>
      <w:r w:rsidRPr="00E72456">
        <w:rPr>
          <w:kern w:val="1"/>
          <w:sz w:val="28"/>
          <w:szCs w:val="28"/>
          <w:lang w:eastAsia="hi-IN" w:bidi="hi-IN"/>
        </w:rPr>
        <w:t>20</w:t>
      </w:r>
      <w:r w:rsidR="00E56AA9">
        <w:rPr>
          <w:kern w:val="1"/>
          <w:sz w:val="28"/>
          <w:szCs w:val="28"/>
          <w:lang w:eastAsia="hi-IN" w:bidi="hi-IN"/>
        </w:rPr>
        <w:t>22</w:t>
      </w:r>
      <w:r w:rsidRPr="003F620E">
        <w:rPr>
          <w:kern w:val="1"/>
          <w:sz w:val="28"/>
          <w:szCs w:val="28"/>
          <w:lang w:eastAsia="hi-IN" w:bidi="hi-IN"/>
        </w:rPr>
        <w:t xml:space="preserve"> г.</w:t>
      </w:r>
    </w:p>
    <w:p w:rsidR="007A2F34" w:rsidRPr="004269E2" w:rsidRDefault="007A2F3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69E2" w:rsidRP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</w:t>
      </w:r>
      <w:r w:rsidR="00691AB7">
        <w:rPr>
          <w:rFonts w:eastAsia="Calibri"/>
          <w:sz w:val="28"/>
          <w:szCs w:val="28"/>
          <w:lang w:eastAsia="en-US"/>
        </w:rPr>
        <w:t xml:space="preserve">указания рассмотрены и одобрены </w:t>
      </w:r>
      <w:r w:rsidRPr="004269E2">
        <w:rPr>
          <w:rFonts w:eastAsia="Calibri"/>
          <w:sz w:val="28"/>
          <w:szCs w:val="28"/>
          <w:lang w:eastAsia="en-US"/>
        </w:rPr>
        <w:t xml:space="preserve">на заседании </w:t>
      </w:r>
      <w:r w:rsidR="00491396" w:rsidRPr="00491396">
        <w:rPr>
          <w:rFonts w:eastAsia="Calibri"/>
          <w:sz w:val="28"/>
          <w:szCs w:val="28"/>
          <w:lang w:eastAsia="en-US"/>
        </w:rPr>
        <w:t xml:space="preserve">кафедры </w:t>
      </w:r>
      <w:r w:rsidR="00E56AA9">
        <w:rPr>
          <w:rFonts w:eastAsia="Calibri"/>
          <w:sz w:val="28"/>
          <w:szCs w:val="28"/>
          <w:lang w:eastAsia="en-US"/>
        </w:rPr>
        <w:t>общепрофессиональных и технических дисциплин</w:t>
      </w:r>
    </w:p>
    <w:p w:rsidR="007673B1" w:rsidRPr="007673B1" w:rsidRDefault="007673B1" w:rsidP="003C5E25">
      <w:pPr>
        <w:suppressAutoHyphens/>
        <w:spacing w:line="360" w:lineRule="auto"/>
        <w:rPr>
          <w:kern w:val="1"/>
          <w:sz w:val="28"/>
          <w:szCs w:val="28"/>
          <w:lang w:eastAsia="hi-IN" w:bidi="hi-IN"/>
        </w:rPr>
      </w:pPr>
      <w:r w:rsidRPr="007673B1">
        <w:rPr>
          <w:kern w:val="1"/>
          <w:sz w:val="28"/>
          <w:szCs w:val="28"/>
          <w:lang w:eastAsia="hi-IN" w:bidi="hi-IN"/>
        </w:rPr>
        <w:t xml:space="preserve">«   » ______________ </w:t>
      </w:r>
      <w:r w:rsidRPr="00E72456">
        <w:rPr>
          <w:kern w:val="1"/>
          <w:sz w:val="28"/>
          <w:szCs w:val="28"/>
          <w:lang w:eastAsia="hi-IN" w:bidi="hi-IN"/>
        </w:rPr>
        <w:t>20</w:t>
      </w:r>
      <w:r w:rsidR="000C3BE5">
        <w:rPr>
          <w:kern w:val="1"/>
          <w:sz w:val="28"/>
          <w:szCs w:val="28"/>
          <w:lang w:eastAsia="hi-IN" w:bidi="hi-IN"/>
        </w:rPr>
        <w:t>2</w:t>
      </w:r>
      <w:r w:rsidR="00E56AA9">
        <w:rPr>
          <w:kern w:val="1"/>
          <w:sz w:val="28"/>
          <w:szCs w:val="28"/>
          <w:lang w:eastAsia="hi-IN" w:bidi="hi-IN"/>
        </w:rPr>
        <w:t>2</w:t>
      </w:r>
      <w:r w:rsidRPr="003F620E">
        <w:rPr>
          <w:kern w:val="1"/>
          <w:sz w:val="28"/>
          <w:szCs w:val="28"/>
          <w:lang w:eastAsia="hi-IN" w:bidi="hi-IN"/>
        </w:rPr>
        <w:t xml:space="preserve"> г.</w:t>
      </w:r>
      <w:r w:rsidRPr="007673B1">
        <w:rPr>
          <w:kern w:val="1"/>
          <w:sz w:val="28"/>
          <w:szCs w:val="28"/>
          <w:lang w:eastAsia="hi-IN" w:bidi="hi-IN"/>
        </w:rPr>
        <w:t xml:space="preserve">           протокол № _</w:t>
      </w: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69E2" w:rsidRP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269E2">
        <w:rPr>
          <w:rFonts w:eastAsia="Calibri"/>
          <w:sz w:val="28"/>
          <w:szCs w:val="28"/>
          <w:lang w:eastAsia="en-US"/>
        </w:rPr>
        <w:t>Заведующий кафедрой ________________________</w:t>
      </w:r>
    </w:p>
    <w:p w:rsidR="004269E2" w:rsidRDefault="004269E2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4269E2" w:rsidRDefault="004269E2" w:rsidP="004269E2">
      <w:pPr>
        <w:jc w:val="both"/>
        <w:rPr>
          <w:snapToGrid w:val="0"/>
          <w:sz w:val="28"/>
          <w:szCs w:val="28"/>
        </w:rPr>
      </w:pPr>
    </w:p>
    <w:p w:rsidR="005A4553" w:rsidRDefault="005A4553" w:rsidP="004269E2">
      <w:pPr>
        <w:jc w:val="both"/>
        <w:rPr>
          <w:snapToGrid w:val="0"/>
          <w:sz w:val="28"/>
          <w:szCs w:val="28"/>
        </w:rPr>
      </w:pPr>
    </w:p>
    <w:p w:rsidR="00AE75CE" w:rsidRDefault="00AE75CE" w:rsidP="004269E2">
      <w:pPr>
        <w:jc w:val="both"/>
        <w:rPr>
          <w:snapToGrid w:val="0"/>
          <w:sz w:val="28"/>
          <w:szCs w:val="28"/>
        </w:rPr>
      </w:pPr>
    </w:p>
    <w:p w:rsidR="004269E2" w:rsidRPr="004269E2" w:rsidRDefault="007F0A60" w:rsidP="00613B44">
      <w:pPr>
        <w:jc w:val="both"/>
        <w:rPr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</w:t>
      </w:r>
      <w:r w:rsidR="00691AB7">
        <w:rPr>
          <w:rFonts w:eastAsia="Calibri"/>
          <w:sz w:val="28"/>
          <w:szCs w:val="28"/>
          <w:lang w:eastAsia="en-US"/>
        </w:rPr>
        <w:t>указания</w:t>
      </w:r>
      <w:r w:rsidR="003C5E25">
        <w:rPr>
          <w:rFonts w:eastAsia="Calibri"/>
          <w:sz w:val="28"/>
          <w:szCs w:val="28"/>
          <w:lang w:eastAsia="en-US"/>
        </w:rPr>
        <w:t xml:space="preserve"> </w:t>
      </w:r>
      <w:r w:rsidR="004269E2" w:rsidRPr="004269E2">
        <w:rPr>
          <w:rFonts w:eastAsia="Calibri"/>
          <w:sz w:val="28"/>
          <w:szCs w:val="28"/>
          <w:lang w:eastAsia="en-US"/>
        </w:rPr>
        <w:t>явля</w:t>
      </w:r>
      <w:r w:rsidR="003C5E25">
        <w:rPr>
          <w:rFonts w:eastAsia="Calibri"/>
          <w:sz w:val="28"/>
          <w:szCs w:val="28"/>
          <w:lang w:eastAsia="en-US"/>
        </w:rPr>
        <w:t>ю</w:t>
      </w:r>
      <w:r w:rsidR="004269E2" w:rsidRPr="004269E2">
        <w:rPr>
          <w:rFonts w:eastAsia="Calibri"/>
          <w:sz w:val="28"/>
          <w:szCs w:val="28"/>
          <w:lang w:eastAsia="en-US"/>
        </w:rPr>
        <w:t xml:space="preserve">тся приложением к рабочей программе по </w:t>
      </w:r>
      <w:r w:rsidR="00597390">
        <w:rPr>
          <w:rFonts w:eastAsia="Calibri"/>
          <w:sz w:val="28"/>
          <w:szCs w:val="28"/>
          <w:lang w:eastAsia="en-US"/>
        </w:rPr>
        <w:t>практике</w:t>
      </w:r>
      <w:r w:rsidR="003C5E25">
        <w:rPr>
          <w:rFonts w:eastAsia="Calibri"/>
          <w:sz w:val="28"/>
          <w:szCs w:val="28"/>
          <w:lang w:eastAsia="en-US"/>
        </w:rPr>
        <w:t xml:space="preserve"> </w:t>
      </w:r>
      <w:r w:rsidR="00613B44" w:rsidRPr="00613B44">
        <w:rPr>
          <w:iCs/>
          <w:sz w:val="28"/>
          <w:szCs w:val="28"/>
        </w:rPr>
        <w:t>«</w:t>
      </w:r>
      <w:r w:rsidR="0065033A">
        <w:rPr>
          <w:i/>
        </w:rPr>
        <w:t>Б</w:t>
      </w:r>
      <w:proofErr w:type="gramStart"/>
      <w:r w:rsidR="0065033A">
        <w:rPr>
          <w:i/>
        </w:rPr>
        <w:t>2</w:t>
      </w:r>
      <w:proofErr w:type="gramEnd"/>
      <w:r w:rsidR="0065033A">
        <w:rPr>
          <w:i/>
        </w:rPr>
        <w:t>.П.В.У.1 Практика по получению профессиональных умений и опыта профессиональной деятельности (учебная практика)</w:t>
      </w:r>
      <w:r w:rsidR="00613B44" w:rsidRPr="00613B44">
        <w:rPr>
          <w:iCs/>
          <w:sz w:val="28"/>
          <w:szCs w:val="28"/>
        </w:rPr>
        <w:t>»</w:t>
      </w:r>
    </w:p>
    <w:p w:rsidR="007F0A60" w:rsidRDefault="007F0A60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4269E2" w:rsidRPr="003F620E" w:rsidRDefault="004269E2" w:rsidP="004269E2">
      <w:pPr>
        <w:shd w:val="clear" w:color="auto" w:fill="FFFFFF"/>
        <w:spacing w:after="480"/>
        <w:jc w:val="center"/>
        <w:rPr>
          <w:b/>
          <w:color w:val="000000"/>
          <w:sz w:val="32"/>
          <w:szCs w:val="32"/>
        </w:rPr>
      </w:pPr>
      <w:r w:rsidRPr="00E50562">
        <w:rPr>
          <w:b/>
          <w:color w:val="000000"/>
          <w:sz w:val="28"/>
          <w:szCs w:val="32"/>
        </w:rPr>
        <w:t>Содержание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180"/>
        <w:gridCol w:w="567"/>
      </w:tblGrid>
      <w:tr w:rsidR="004269E2" w:rsidRPr="00E50562" w:rsidTr="00E50562">
        <w:trPr>
          <w:trHeight w:val="270"/>
        </w:trPr>
        <w:tc>
          <w:tcPr>
            <w:tcW w:w="9180" w:type="dxa"/>
          </w:tcPr>
          <w:p w:rsidR="004269E2" w:rsidRPr="00E50562" w:rsidRDefault="005A4553" w:rsidP="005A4553">
            <w:pPr>
              <w:jc w:val="both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1 Общие положения..................................................................................</w:t>
            </w:r>
            <w:r w:rsidR="003F620E" w:rsidRPr="00E50562">
              <w:rPr>
                <w:color w:val="000000"/>
                <w:szCs w:val="28"/>
              </w:rPr>
              <w:t>...........</w:t>
            </w:r>
            <w:r w:rsidR="00E50562">
              <w:rPr>
                <w:color w:val="000000"/>
                <w:szCs w:val="28"/>
              </w:rPr>
              <w:t>.........</w:t>
            </w:r>
          </w:p>
        </w:tc>
        <w:tc>
          <w:tcPr>
            <w:tcW w:w="567" w:type="dxa"/>
            <w:vAlign w:val="bottom"/>
          </w:tcPr>
          <w:p w:rsidR="004269E2" w:rsidRPr="00E50562" w:rsidRDefault="005A4553" w:rsidP="005A4553">
            <w:pPr>
              <w:jc w:val="center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4</w:t>
            </w:r>
          </w:p>
        </w:tc>
      </w:tr>
      <w:tr w:rsidR="005A4553" w:rsidRPr="00E50562" w:rsidTr="00E50562">
        <w:trPr>
          <w:trHeight w:val="490"/>
        </w:trPr>
        <w:tc>
          <w:tcPr>
            <w:tcW w:w="9180" w:type="dxa"/>
          </w:tcPr>
          <w:p w:rsidR="005A4553" w:rsidRPr="00E50562" w:rsidRDefault="005A4553" w:rsidP="005A4553">
            <w:pPr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 xml:space="preserve">2 </w:t>
            </w:r>
            <w:r w:rsidR="00F915F8" w:rsidRPr="00F915F8">
              <w:rPr>
                <w:color w:val="000000"/>
                <w:szCs w:val="28"/>
              </w:rPr>
              <w:t xml:space="preserve">Методические рекомендации для </w:t>
            </w:r>
            <w:proofErr w:type="gramStart"/>
            <w:r w:rsidR="00F915F8" w:rsidRPr="00F915F8">
              <w:rPr>
                <w:color w:val="000000"/>
                <w:szCs w:val="28"/>
              </w:rPr>
              <w:t>обучающихся</w:t>
            </w:r>
            <w:proofErr w:type="gramEnd"/>
            <w:r w:rsidR="00F915F8" w:rsidRPr="00F915F8">
              <w:rPr>
                <w:color w:val="000000"/>
                <w:szCs w:val="28"/>
              </w:rPr>
              <w:t xml:space="preserve"> по планированию и организации времени, необходимого для освоения программы практики</w:t>
            </w:r>
            <w:r w:rsidR="003F620E" w:rsidRPr="00E50562">
              <w:rPr>
                <w:color w:val="000000"/>
                <w:szCs w:val="28"/>
              </w:rPr>
              <w:t>...</w:t>
            </w:r>
            <w:r w:rsidR="00E50562">
              <w:rPr>
                <w:color w:val="000000"/>
                <w:szCs w:val="28"/>
              </w:rPr>
              <w:t>............................................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5A4553" w:rsidP="005A4553">
            <w:pPr>
              <w:jc w:val="center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5</w:t>
            </w:r>
          </w:p>
        </w:tc>
      </w:tr>
      <w:tr w:rsidR="005A4553" w:rsidRPr="00E50562" w:rsidTr="00E50562">
        <w:trPr>
          <w:trHeight w:val="490"/>
        </w:trPr>
        <w:tc>
          <w:tcPr>
            <w:tcW w:w="9180" w:type="dxa"/>
          </w:tcPr>
          <w:p w:rsidR="005A4553" w:rsidRPr="00E50562" w:rsidRDefault="00F915F8" w:rsidP="005A45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5A4553" w:rsidRPr="00E50562">
              <w:rPr>
                <w:color w:val="000000"/>
                <w:szCs w:val="28"/>
              </w:rPr>
              <w:t xml:space="preserve"> Методические рекомендации </w:t>
            </w:r>
            <w:proofErr w:type="gramStart"/>
            <w:r w:rsidR="005A4553" w:rsidRPr="00E50562">
              <w:rPr>
                <w:color w:val="000000"/>
                <w:szCs w:val="28"/>
              </w:rPr>
              <w:t>обучающимся</w:t>
            </w:r>
            <w:proofErr w:type="gramEnd"/>
            <w:r w:rsidR="005A4553" w:rsidRPr="00E50562">
              <w:rPr>
                <w:color w:val="000000"/>
                <w:szCs w:val="28"/>
              </w:rPr>
              <w:t xml:space="preserve"> по организации самостоятельной работы..........................................................................</w:t>
            </w:r>
            <w:r w:rsidR="003F620E" w:rsidRPr="00E50562">
              <w:rPr>
                <w:color w:val="000000"/>
                <w:szCs w:val="28"/>
              </w:rPr>
              <w:t>...........</w:t>
            </w:r>
            <w:r w:rsidR="00E50562">
              <w:rPr>
                <w:color w:val="000000"/>
                <w:szCs w:val="28"/>
              </w:rPr>
              <w:t>..................................................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5A4553" w:rsidRPr="00E50562" w:rsidTr="00E50562">
        <w:trPr>
          <w:trHeight w:val="262"/>
        </w:trPr>
        <w:tc>
          <w:tcPr>
            <w:tcW w:w="9180" w:type="dxa"/>
          </w:tcPr>
          <w:p w:rsidR="005A4553" w:rsidRPr="00E50562" w:rsidRDefault="00F915F8" w:rsidP="00E5056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5A4553" w:rsidRPr="00E50562">
              <w:rPr>
                <w:color w:val="000000"/>
                <w:szCs w:val="28"/>
              </w:rPr>
              <w:t xml:space="preserve"> Методические указания по работе с научной и учебной литературой...............</w:t>
            </w:r>
            <w:r w:rsidR="00E50562">
              <w:rPr>
                <w:color w:val="000000"/>
                <w:szCs w:val="28"/>
              </w:rPr>
              <w:t>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 w:rsidR="005A4553" w:rsidRPr="00E50562" w:rsidTr="00E50562">
        <w:trPr>
          <w:trHeight w:val="269"/>
        </w:trPr>
        <w:tc>
          <w:tcPr>
            <w:tcW w:w="9180" w:type="dxa"/>
          </w:tcPr>
          <w:p w:rsidR="005A4553" w:rsidRPr="00E50562" w:rsidRDefault="00F915F8" w:rsidP="00E5056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5A4553" w:rsidRPr="00E50562">
              <w:rPr>
                <w:color w:val="000000"/>
                <w:szCs w:val="28"/>
              </w:rPr>
              <w:t xml:space="preserve"> Методические указания по промежуточной аттестации по дисциплине………………</w:t>
            </w:r>
            <w:r w:rsidR="00E50562">
              <w:rPr>
                <w:color w:val="000000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</w:tbl>
    <w:p w:rsidR="008D7587" w:rsidRDefault="008D7587" w:rsidP="008D7587">
      <w:pPr>
        <w:rPr>
          <w:b/>
          <w:sz w:val="28"/>
          <w:szCs w:val="28"/>
        </w:rPr>
      </w:pPr>
    </w:p>
    <w:p w:rsidR="008D7587" w:rsidRDefault="008D75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371D" w:rsidRPr="00E50562" w:rsidRDefault="00D1371D" w:rsidP="00AE75CE">
      <w:pPr>
        <w:ind w:firstLine="709"/>
        <w:rPr>
          <w:b/>
          <w:color w:val="000000"/>
          <w:sz w:val="28"/>
          <w:szCs w:val="28"/>
        </w:rPr>
      </w:pPr>
      <w:r w:rsidRPr="00E50562">
        <w:rPr>
          <w:b/>
          <w:color w:val="000000"/>
          <w:sz w:val="28"/>
          <w:szCs w:val="28"/>
        </w:rPr>
        <w:t xml:space="preserve">1 Общие положения </w:t>
      </w:r>
    </w:p>
    <w:p w:rsidR="00D1371D" w:rsidRPr="00E50562" w:rsidRDefault="00D1371D" w:rsidP="00D1371D">
      <w:pPr>
        <w:rPr>
          <w:color w:val="000000"/>
          <w:szCs w:val="28"/>
        </w:rPr>
      </w:pPr>
    </w:p>
    <w:p w:rsidR="0065033A" w:rsidRDefault="0065033A" w:rsidP="0065033A">
      <w:pPr>
        <w:pStyle w:val="ReportMain"/>
        <w:suppressAutoHyphens/>
        <w:ind w:firstLine="709"/>
        <w:jc w:val="both"/>
      </w:pPr>
      <w:r w:rsidRPr="00D068A4">
        <w:rPr>
          <w:b/>
        </w:rPr>
        <w:t>Цель</w:t>
      </w:r>
      <w:r>
        <w:t xml:space="preserve"> (цели) практики:</w:t>
      </w:r>
    </w:p>
    <w:p w:rsidR="0065033A" w:rsidRDefault="0065033A" w:rsidP="0065033A">
      <w:pPr>
        <w:pStyle w:val="ReportMain"/>
        <w:suppressAutoHyphens/>
        <w:ind w:firstLine="709"/>
        <w:jc w:val="both"/>
      </w:pPr>
      <w:r>
        <w:t>– закрепление и углубление теоретических знаний о структуре технологического процесса технического обслуживания и ремонта транспортно-технологических машин и комплексов в ходе проведения измерительного эксперимента и оценки результатов измерений, а также анализе передового научно-технического опыта и тенденций развития технологий эксплуатации транспортных и транспортно-технологических машин и оборудования;</w:t>
      </w:r>
    </w:p>
    <w:p w:rsidR="0065033A" w:rsidRDefault="0065033A" w:rsidP="0065033A">
      <w:pPr>
        <w:pStyle w:val="ReportMain"/>
        <w:suppressAutoHyphens/>
        <w:ind w:firstLine="709"/>
        <w:jc w:val="both"/>
      </w:pPr>
      <w:r>
        <w:t>– приобретение практических знаний выполнения в составе коллектива исполнителей лабораторных, стендовых, полигонных, приемо-сдаточных и иных видов испытаний систем и средств, находящихся в эксплуатации транспортных и транспортно-технологических машин и оборудования, а также теоретических, экспериментальных, вычислительных исследований по научно-техническому обоснованию инновационных технологий эксплуатации транспортных и транспортно-технологических машин и оборудования.</w:t>
      </w:r>
    </w:p>
    <w:p w:rsidR="0065033A" w:rsidRPr="00D068A4" w:rsidRDefault="0065033A" w:rsidP="0065033A">
      <w:pPr>
        <w:pStyle w:val="ReportMain"/>
        <w:suppressAutoHyphens/>
        <w:ind w:firstLine="709"/>
        <w:jc w:val="both"/>
        <w:rPr>
          <w:b/>
        </w:rPr>
      </w:pPr>
      <w:r w:rsidRPr="00D068A4">
        <w:rPr>
          <w:b/>
        </w:rPr>
        <w:t>Задачи:</w:t>
      </w:r>
    </w:p>
    <w:p w:rsidR="0065033A" w:rsidRDefault="0065033A" w:rsidP="0065033A">
      <w:pPr>
        <w:pStyle w:val="ReportMain"/>
        <w:suppressAutoHyphens/>
        <w:ind w:firstLine="709"/>
        <w:jc w:val="both"/>
      </w:pPr>
      <w:proofErr w:type="gramStart"/>
      <w:r>
        <w:t>– формировании знаний об основных структурных подразделениях базы практики, связей между ними, изучение основных технологических процессов, реализуемых на рабочих местах;</w:t>
      </w:r>
      <w:proofErr w:type="gramEnd"/>
    </w:p>
    <w:p w:rsidR="0065033A" w:rsidRDefault="0065033A" w:rsidP="0065033A">
      <w:pPr>
        <w:pStyle w:val="ReportMain"/>
        <w:suppressAutoHyphens/>
        <w:ind w:firstLine="709"/>
        <w:jc w:val="both"/>
      </w:pPr>
      <w:proofErr w:type="gramStart"/>
      <w:r>
        <w:t>– формирование знаний технологических процессов при обработке изделий резанием, оборудовании и оснастки рабочих мест лабораторий в соответствие с видом выполняемых работ: слесарные, сварочные, токарные, фрезерные, сверлильные или шлифовальные, а также об оборудовании для выполнения работ по техническому обслуживанию, ремонту, диагностике парка машин и агрегатов на автотранспортных предприятиях и технологических процессов литья, сварки, обработки давлением, механической обработки на предприятиях транспортного машиностроения;</w:t>
      </w:r>
      <w:proofErr w:type="gramEnd"/>
    </w:p>
    <w:p w:rsidR="0065033A" w:rsidRDefault="0065033A" w:rsidP="0065033A">
      <w:pPr>
        <w:pStyle w:val="ReportMain"/>
        <w:suppressAutoHyphens/>
        <w:ind w:firstLine="709"/>
        <w:jc w:val="both"/>
      </w:pPr>
      <w:r>
        <w:t>– формирование умений и навыков организации теоретических, экспериментальных, вычислительных исследований по научно-техническому обоснованию инновационных технологий эксплуатации транспортных и транспортно-технологических машин и оборудования с применением информационно-коммуникационных технологий и с учетом основных требований информационной безопасности;</w:t>
      </w:r>
    </w:p>
    <w:p w:rsidR="0065033A" w:rsidRDefault="0065033A" w:rsidP="0065033A">
      <w:pPr>
        <w:pStyle w:val="ReportMain"/>
        <w:suppressAutoHyphens/>
        <w:ind w:firstLine="709"/>
        <w:jc w:val="both"/>
      </w:pPr>
      <w:r>
        <w:t>– формирование умений и навыков работы с нормативными документами в составе коллектива исполнителей лабораторных, стендовых, полигонных, приемо-сдаточных и иных видов испытаний систем и средств, находящихся в эксплуатации транспортных и транспортно-технологических машин и оборудования;</w:t>
      </w:r>
    </w:p>
    <w:p w:rsidR="00D97536" w:rsidRDefault="0065033A" w:rsidP="0065033A">
      <w:pPr>
        <w:ind w:firstLine="709"/>
        <w:jc w:val="both"/>
      </w:pPr>
      <w:r>
        <w:t xml:space="preserve">– </w:t>
      </w:r>
      <w:proofErr w:type="gramStart"/>
      <w:r>
        <w:t>приобретении</w:t>
      </w:r>
      <w:proofErr w:type="gramEnd"/>
      <w:r>
        <w:t xml:space="preserve"> первичных практических навыков самостоятельной работы и умений, применять их при решении конкретных производственных задач.</w:t>
      </w:r>
    </w:p>
    <w:p w:rsidR="0065033A" w:rsidRDefault="0065033A" w:rsidP="0065033A">
      <w:pPr>
        <w:pStyle w:val="ReportMain"/>
        <w:suppressAutoHyphens/>
        <w:ind w:firstLine="709"/>
        <w:jc w:val="both"/>
      </w:pPr>
      <w:r>
        <w:t>Процесс изучения практики направлен на формирование следующих результатов обучения</w:t>
      </w:r>
    </w:p>
    <w:p w:rsidR="0065033A" w:rsidRDefault="0065033A" w:rsidP="0065033A">
      <w:pPr>
        <w:pStyle w:val="ReportMain"/>
        <w:suppressAutoHyphens/>
        <w:ind w:firstLine="709"/>
        <w:jc w:val="both"/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886"/>
        <w:gridCol w:w="3119"/>
        <w:gridCol w:w="3685"/>
      </w:tblGrid>
      <w:tr w:rsidR="0065033A" w:rsidRPr="0027060F" w:rsidTr="0065033A">
        <w:trPr>
          <w:tblHeader/>
        </w:trPr>
        <w:tc>
          <w:tcPr>
            <w:tcW w:w="2886" w:type="dxa"/>
            <w:shd w:val="clear" w:color="auto" w:fill="auto"/>
            <w:vAlign w:val="center"/>
          </w:tcPr>
          <w:p w:rsidR="0065033A" w:rsidRPr="00754596" w:rsidRDefault="0065033A" w:rsidP="00AA0A72">
            <w:pPr>
              <w:pStyle w:val="ReportMain"/>
              <w:suppressAutoHyphens/>
              <w:jc w:val="center"/>
            </w:pPr>
            <w:r w:rsidRPr="00754596">
              <w:t>Код и наименование формируемых компетенций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5033A" w:rsidRPr="00754596" w:rsidRDefault="0065033A" w:rsidP="00AA0A72">
            <w:pPr>
              <w:pStyle w:val="ReportMain"/>
              <w:suppressAutoHyphens/>
              <w:jc w:val="center"/>
            </w:pPr>
            <w:r w:rsidRPr="00754596">
              <w:t>Код и наименование индикатора достижения компетенции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033A" w:rsidRPr="00754596" w:rsidRDefault="0065033A" w:rsidP="00AA0A72">
            <w:pPr>
              <w:pStyle w:val="ReportMain"/>
              <w:suppressAutoHyphens/>
              <w:jc w:val="center"/>
            </w:pPr>
            <w:r w:rsidRPr="00754596">
              <w:t>Планируемые результаты обучения при прохождении практики</w:t>
            </w:r>
          </w:p>
        </w:tc>
      </w:tr>
      <w:tr w:rsidR="0065033A" w:rsidRPr="0027060F" w:rsidTr="0065033A">
        <w:tc>
          <w:tcPr>
            <w:tcW w:w="2886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proofErr w:type="gramStart"/>
            <w:r w:rsidRPr="00754596"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УК-8-В-1</w:t>
            </w:r>
            <w:proofErr w:type="gramStart"/>
            <w:r w:rsidRPr="00754596">
              <w:t xml:space="preserve"> Ф</w:t>
            </w:r>
            <w:proofErr w:type="gramEnd"/>
            <w:r w:rsidRPr="00754596">
              <w:t xml:space="preserve">ормирует культуру безопасного и ответственного поведения в повседневной жизни и профессиональной деятельности, обеспечивая безопасные и/или комфортные условия жизнедеятельности, труда на рабочем месте, в </w:t>
            </w:r>
            <w:proofErr w:type="spellStart"/>
            <w:r w:rsidRPr="00754596">
              <w:t>т.ч</w:t>
            </w:r>
            <w:proofErr w:type="spellEnd"/>
            <w:r w:rsidRPr="00754596">
              <w:t>. с помощью средств защиты</w:t>
            </w:r>
          </w:p>
        </w:tc>
        <w:tc>
          <w:tcPr>
            <w:tcW w:w="3685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rPr>
                <w:b/>
                <w:u w:val="single"/>
              </w:rPr>
              <w:t>Знать: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– способы создания и поддерживания в повседневной жизни и в профессиональной деятельности безопасных условий жизнедеятельности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rPr>
                <w:b/>
                <w:u w:val="single"/>
              </w:rPr>
              <w:t>Уметь:</w:t>
            </w:r>
          </w:p>
          <w:p w:rsidR="0065033A" w:rsidRDefault="0065033A" w:rsidP="00AA0A72">
            <w:pPr>
              <w:pStyle w:val="ReportMain"/>
              <w:suppressAutoHyphens/>
              <w:jc w:val="both"/>
            </w:pPr>
            <w:r w:rsidRPr="00754596">
              <w:t xml:space="preserve">– обеспечивать безопасные и/или комфортные условия жизнедеятельности, труда на рабочем месте, в </w:t>
            </w:r>
            <w:proofErr w:type="spellStart"/>
            <w:r w:rsidRPr="00754596">
              <w:t>т.ч</w:t>
            </w:r>
            <w:proofErr w:type="spellEnd"/>
            <w:r w:rsidRPr="00754596">
              <w:t>. с помощью средств защиты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rPr>
                <w:b/>
                <w:u w:val="single"/>
              </w:rPr>
              <w:t>Владеть: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– культурой безопасного и ответственного поведения в повседневной жизни и профессиональной деятельности</w:t>
            </w:r>
          </w:p>
        </w:tc>
      </w:tr>
      <w:tr w:rsidR="0065033A" w:rsidRPr="0027060F" w:rsidTr="0065033A">
        <w:tc>
          <w:tcPr>
            <w:tcW w:w="2886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ПК*-2 Способен организовывать и координировать совместную деятельность сотрудников по обеспечению эксплуатации, обслуживания и сервиса транспортно-технологических машин и комплексов</w:t>
            </w:r>
          </w:p>
        </w:tc>
        <w:tc>
          <w:tcPr>
            <w:tcW w:w="3119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ПК*-2-В-3</w:t>
            </w:r>
            <w:proofErr w:type="gramStart"/>
            <w:r w:rsidRPr="00754596">
              <w:t xml:space="preserve"> О</w:t>
            </w:r>
            <w:proofErr w:type="gramEnd"/>
            <w:r w:rsidRPr="00754596">
              <w:t>рганизует и координирует взаимодействие подразделений организации, взаимодействие организации с внешними контрагентами по обслуживанию и сервису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rPr>
                <w:b/>
                <w:u w:val="single"/>
              </w:rPr>
              <w:t>Знать: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– способы организации и координирования совместной деятельности сотрудников по обеспечению эксплуатации, обслуживания и сервиса транспортно-технологических машин и комплексов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rPr>
                <w:b/>
                <w:u w:val="single"/>
              </w:rPr>
              <w:t>Уметь: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– организовывать и координировать взаимодействие подразделений организации, взаимодействие организации с внешними контрагентами по обслуживанию и сервису транспортно-технологических машин и комплексов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rPr>
                <w:b/>
                <w:u w:val="single"/>
              </w:rPr>
              <w:t>Владеть: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– навыками организации и координирования взаимодействия подразделений организации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</w:p>
        </w:tc>
      </w:tr>
      <w:tr w:rsidR="0065033A" w:rsidRPr="0027060F" w:rsidTr="0065033A">
        <w:tc>
          <w:tcPr>
            <w:tcW w:w="2886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ПК*-4 Способен руководить выполнением работ по техническому обслуживанию и ремонту транспортно-технологических машин и их компонентов</w:t>
            </w:r>
          </w:p>
        </w:tc>
        <w:tc>
          <w:tcPr>
            <w:tcW w:w="3119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ПК*-4-В-5</w:t>
            </w:r>
            <w:proofErr w:type="gramStart"/>
            <w:r w:rsidRPr="00754596">
              <w:t xml:space="preserve"> О</w:t>
            </w:r>
            <w:proofErr w:type="gramEnd"/>
            <w:r w:rsidRPr="00754596">
              <w:t>беспечивает безопасные условия выполнения работ по техническому обслуживанию и ремонту транспортно-технологических машин, оборудования и их компонентов с учётом особенностей эксплуатации и специфики транспортных, транспортно-технологических и сервисных предприятий отрасли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ПК*-4-В-6</w:t>
            </w:r>
            <w:proofErr w:type="gramStart"/>
            <w:r w:rsidRPr="00754596">
              <w:t xml:space="preserve"> Д</w:t>
            </w:r>
            <w:proofErr w:type="gramEnd"/>
            <w:r w:rsidRPr="00754596">
              <w:t>емонстрирует знание особенностей альтернативных топливно-энергетических схем, применяемых при эксплуатации транспортных и транспортно-технологических машин отрасли</w:t>
            </w:r>
          </w:p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ПК*-4-В-7</w:t>
            </w:r>
            <w:proofErr w:type="gramStart"/>
            <w:r w:rsidRPr="00754596">
              <w:t xml:space="preserve"> Д</w:t>
            </w:r>
            <w:proofErr w:type="gramEnd"/>
            <w:r w:rsidRPr="00754596">
              <w:t>емонстрирует знание конструкции и принципов работы навесного оборудования транспортных и транспортно-технологических машин нефтегазовой отрасли</w:t>
            </w:r>
          </w:p>
        </w:tc>
        <w:tc>
          <w:tcPr>
            <w:tcW w:w="3685" w:type="dxa"/>
            <w:shd w:val="clear" w:color="auto" w:fill="auto"/>
          </w:tcPr>
          <w:p w:rsidR="0065033A" w:rsidRPr="00754596" w:rsidRDefault="0065033A" w:rsidP="00AA0A72">
            <w:pPr>
              <w:pStyle w:val="ReportMain"/>
              <w:suppressAutoHyphens/>
              <w:jc w:val="both"/>
            </w:pPr>
            <w:r w:rsidRPr="00754596">
              <w:t>Знать: основные принципы системы технического обслуживания и ремонта транспортно-технологических машин и их компонентов, особенности альтернативных топливно-энергетических схем, применяемых при эксплуатации транспортных и транспортно-технологических машин отрасли, конструкцию и принципы работы навесного оборудования транспортных и транспортно- технологических машин нефтегазовой отрасли</w:t>
            </w:r>
            <w:proofErr w:type="gramStart"/>
            <w:r w:rsidRPr="00754596">
              <w:t xml:space="preserve"> У</w:t>
            </w:r>
            <w:proofErr w:type="gramEnd"/>
            <w:r w:rsidRPr="00754596">
              <w:t>меть: определять номенклатуру и объём эксплуатационных материалов, используемых при эксплуатации, техническом обслуживании и ремонте транспортно-технологических машин Владеть: знанием конструкции и принципов работы навесного оборудования транспортных и транспортно-технологических машин нефтегазовой отрасли</w:t>
            </w:r>
          </w:p>
        </w:tc>
      </w:tr>
    </w:tbl>
    <w:p w:rsidR="00B53FFA" w:rsidRDefault="00B53FFA" w:rsidP="00613B44">
      <w:pPr>
        <w:ind w:firstLine="709"/>
        <w:jc w:val="both"/>
        <w:rPr>
          <w:szCs w:val="22"/>
          <w:lang w:eastAsia="en-US"/>
        </w:rPr>
      </w:pPr>
    </w:p>
    <w:p w:rsidR="0065033A" w:rsidRDefault="00D1371D" w:rsidP="0065033A">
      <w:pPr>
        <w:pStyle w:val="ReportMain"/>
        <w:suppressAutoHyphens/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Распределение занятий по часам представлено в </w:t>
      </w:r>
      <w:r w:rsidR="00AE75CE" w:rsidRPr="00E50562">
        <w:rPr>
          <w:color w:val="000000"/>
          <w:szCs w:val="28"/>
        </w:rPr>
        <w:t>рабочей программе дисциплины (</w:t>
      </w:r>
      <w:r w:rsidRPr="00E50562">
        <w:rPr>
          <w:color w:val="000000"/>
          <w:szCs w:val="28"/>
        </w:rPr>
        <w:t>РПД</w:t>
      </w:r>
      <w:r w:rsidR="00AE75CE" w:rsidRPr="00E50562">
        <w:rPr>
          <w:color w:val="000000"/>
          <w:szCs w:val="28"/>
        </w:rPr>
        <w:t>)</w:t>
      </w:r>
      <w:r w:rsidRPr="00E50562">
        <w:rPr>
          <w:color w:val="000000"/>
          <w:szCs w:val="28"/>
        </w:rPr>
        <w:t xml:space="preserve">. </w:t>
      </w:r>
      <w:r w:rsidR="00DA1677" w:rsidRPr="00E50562">
        <w:rPr>
          <w:color w:val="000000"/>
          <w:szCs w:val="28"/>
        </w:rPr>
        <w:t>РПД является составной частью учебно-методическо</w:t>
      </w:r>
      <w:r w:rsidR="0065033A">
        <w:rPr>
          <w:color w:val="000000"/>
          <w:szCs w:val="28"/>
        </w:rPr>
        <w:t>го комплекса дисциплины (УМКД).</w:t>
      </w:r>
    </w:p>
    <w:p w:rsidR="0065033A" w:rsidRDefault="0065033A" w:rsidP="0065033A">
      <w:pPr>
        <w:pStyle w:val="ReportMain"/>
        <w:suppressAutoHyphens/>
        <w:ind w:firstLine="709"/>
        <w:jc w:val="both"/>
      </w:pPr>
      <w:r>
        <w:t>Общая трудоемкость практики составляет 5 зачетных единиц (180 академических часов).</w:t>
      </w:r>
    </w:p>
    <w:p w:rsidR="0065033A" w:rsidRDefault="0065033A" w:rsidP="0065033A">
      <w:pPr>
        <w:pStyle w:val="ReportMain"/>
        <w:suppressAutoHyphens/>
        <w:ind w:firstLine="709"/>
        <w:jc w:val="both"/>
      </w:pPr>
      <w:r>
        <w:t>Практика проводится в 4 семестре.</w:t>
      </w:r>
    </w:p>
    <w:p w:rsidR="003C7F1F" w:rsidRDefault="0065033A" w:rsidP="0065033A">
      <w:pPr>
        <w:pStyle w:val="ReportMain"/>
        <w:suppressAutoHyphens/>
        <w:ind w:firstLine="709"/>
        <w:jc w:val="both"/>
        <w:rPr>
          <w:color w:val="000000"/>
          <w:szCs w:val="28"/>
        </w:rPr>
      </w:pPr>
      <w:r>
        <w:t>Вид итогового контроля – дифференцированный зачет.</w:t>
      </w:r>
    </w:p>
    <w:p w:rsidR="00C0452E" w:rsidRPr="00E50562" w:rsidRDefault="00C0452E" w:rsidP="003C5E25">
      <w:pPr>
        <w:ind w:firstLine="709"/>
        <w:jc w:val="both"/>
        <w:rPr>
          <w:color w:val="000000"/>
          <w:szCs w:val="28"/>
        </w:rPr>
      </w:pPr>
    </w:p>
    <w:p w:rsidR="00E50562" w:rsidRDefault="00E50562" w:rsidP="003502AD">
      <w:pPr>
        <w:spacing w:after="20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0C3BE5" w:rsidRDefault="000C3BE5" w:rsidP="000C3BE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Методические рекомендации для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по планированию и организации времени, необходимого для освоения программы практики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bookmarkStart w:id="1" w:name="_Hlk31585243"/>
      <w:r>
        <w:rPr>
          <w:color w:val="000000"/>
          <w:szCs w:val="28"/>
        </w:rPr>
        <w:t>Изучение рекомендуется начать с ознакомления с РП практики, ее структурой и содержанием разделов (тем), требований к промежуточной аттестации, затем ознакомиться с перечнем рекомендуемой литературы. Далее желательно последовательное изучение материала по темам, ознакомление с рекомендациями по выполнению различных работ и заданий, как аудиторных, так и самостоятельных. Для закрепления материала следует ответить на контрольные вопросы, приведенные в Фонде оценочных средств (ФОС) по практике, который также является составной частью УМК.</w:t>
      </w:r>
    </w:p>
    <w:bookmarkEnd w:id="1"/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Программа практики состоит из нескольких связанных между собою тем, обеспечивающих последовательное изучение материала и выработку умения применять полученные знания при разработке стратегии развития организации.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bookmarkStart w:id="2" w:name="_Hlk31585435"/>
      <w:r>
        <w:rPr>
          <w:color w:val="000000"/>
          <w:szCs w:val="28"/>
        </w:rPr>
        <w:t>Прохождение практики осуществляется в следующих формах: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контактная работа;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самостоятельная работа студента (подготовка к зачету, написание рефератов, выполнение индивидуального задания, оформление отчета по практике).</w:t>
      </w:r>
    </w:p>
    <w:bookmarkEnd w:id="2"/>
    <w:p w:rsidR="00E50562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Основные требования к практике обучающихся изложены в Положении о практике обучающихся ОГУ, осваивающих основные профессиональные образовательные программы высшего образования (</w:t>
      </w:r>
      <w:hyperlink r:id="rId10" w:history="1">
        <w:r>
          <w:rPr>
            <w:rStyle w:val="a9"/>
            <w:szCs w:val="28"/>
          </w:rPr>
          <w:t>http://www.osu.ru/doc/848</w:t>
        </w:r>
      </w:hyperlink>
      <w:proofErr w:type="gramStart"/>
      <w:r>
        <w:rPr>
          <w:color w:val="000000"/>
          <w:szCs w:val="28"/>
        </w:rPr>
        <w:t xml:space="preserve"> )</w:t>
      </w:r>
      <w:proofErr w:type="gramEnd"/>
      <w:r>
        <w:rPr>
          <w:color w:val="000000"/>
          <w:szCs w:val="28"/>
        </w:rPr>
        <w:t>.</w:t>
      </w:r>
      <w:r w:rsidR="00E50562">
        <w:rPr>
          <w:color w:val="000000"/>
          <w:szCs w:val="28"/>
        </w:rPr>
        <w:br w:type="page"/>
      </w:r>
    </w:p>
    <w:p w:rsidR="000C3BE5" w:rsidRDefault="000C3BE5" w:rsidP="000C3BE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Методические рекомендации </w:t>
      </w:r>
      <w:proofErr w:type="gramStart"/>
      <w:r>
        <w:rPr>
          <w:b/>
          <w:color w:val="000000"/>
          <w:sz w:val="28"/>
          <w:szCs w:val="28"/>
        </w:rPr>
        <w:t>обучающимся</w:t>
      </w:r>
      <w:proofErr w:type="gramEnd"/>
      <w:r>
        <w:rPr>
          <w:b/>
          <w:color w:val="000000"/>
          <w:sz w:val="28"/>
          <w:szCs w:val="28"/>
        </w:rPr>
        <w:t xml:space="preserve"> по организации самостоятельной работы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Цель организации самостоятельной работы по практике — это закрепление </w:t>
      </w:r>
      <w:r>
        <w:t xml:space="preserve">и углубление теоретической подготовки </w:t>
      </w:r>
      <w:proofErr w:type="gramStart"/>
      <w:r>
        <w:t>обучающегося</w:t>
      </w:r>
      <w:proofErr w:type="gramEnd"/>
      <w:r>
        <w:t xml:space="preserve"> к решению организационно-технологических задач на производстве</w:t>
      </w:r>
      <w:r>
        <w:rPr>
          <w:color w:val="000000"/>
          <w:szCs w:val="28"/>
        </w:rPr>
        <w:t>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Самостоятельная работа </w:t>
      </w:r>
      <w:proofErr w:type="gramStart"/>
      <w:r>
        <w:rPr>
          <w:color w:val="000000"/>
          <w:szCs w:val="28"/>
        </w:rPr>
        <w:t>обучающихся</w:t>
      </w:r>
      <w:proofErr w:type="gramEnd"/>
      <w:r>
        <w:rPr>
          <w:color w:val="000000"/>
          <w:szCs w:val="28"/>
        </w:rPr>
        <w:t xml:space="preserve"> является важнейшим видом освоения содержания практики и подготовки к зачету. Самостоятельная работа представляет собой постоянно действующую систему, основу образовательного процесса и носит исследовательский характер, что послужит в будущем основанием для написания выпускной квалификационной работы.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Организация самостоятельной работы обучающихся ориентируется на активные методы овладения знаниями, развитие творческих способностей, переход от поточного к индивидуализированному обучению, с учетом потребностей и возможностей личности.</w:t>
      </w:r>
      <w:proofErr w:type="gramEnd"/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подготовке к зачету обучающийся должен повторять пройденный материал в строгом соответствии с программой практики, примерным перечнем учебных вопросов, выносящихся на зачет и содержащихся в данной программе, используя литературу, рекомендованную преподавателем. При необходимости можно обратиться за консультацией и методической помощью к преподавателю.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Самостоятельная работа реализуется: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в контакте с преподавателем вне рамок расписания - на консультациях по учебным вопросам, в ходе творческих контактов, при ликвидации задолженностей, при выполнении индивидуальных заданий и т.д.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 xml:space="preserve">в библиотеке, дома, на кафедре при выполнении </w:t>
      </w:r>
      <w:proofErr w:type="gramStart"/>
      <w:r>
        <w:rPr>
          <w:color w:val="000000"/>
          <w:szCs w:val="28"/>
        </w:rPr>
        <w:t>обучающимся</w:t>
      </w:r>
      <w:proofErr w:type="gramEnd"/>
      <w:r>
        <w:rPr>
          <w:color w:val="000000"/>
          <w:szCs w:val="28"/>
        </w:rPr>
        <w:t xml:space="preserve"> учебных и практических задач.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Самостоятельная работа </w:t>
      </w:r>
      <w:proofErr w:type="gramStart"/>
      <w:r>
        <w:rPr>
          <w:color w:val="000000"/>
          <w:szCs w:val="28"/>
        </w:rPr>
        <w:t>обучающихся</w:t>
      </w:r>
      <w:proofErr w:type="gramEnd"/>
      <w:r>
        <w:rPr>
          <w:color w:val="000000"/>
          <w:szCs w:val="28"/>
        </w:rPr>
        <w:t xml:space="preserve"> предполагает следующие виды отчетности: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выполнение индивидуального задания.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Порядок их выполнения и контроля, тематика, учебно-методическое обеспечение содержатся в методических материалах и фонде оценочных средств по дисциплине, доступ к которым открыт в библиотеке университета.</w:t>
      </w:r>
    </w:p>
    <w:p w:rsidR="00EC2D03" w:rsidRDefault="00EC2D03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1371D" w:rsidRPr="00E50562" w:rsidRDefault="000C3BE5" w:rsidP="008B64D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2578B">
        <w:rPr>
          <w:b/>
          <w:color w:val="000000"/>
          <w:sz w:val="28"/>
          <w:szCs w:val="28"/>
        </w:rPr>
        <w:t xml:space="preserve"> </w:t>
      </w:r>
      <w:r w:rsidR="000B2CCB" w:rsidRPr="00E50562">
        <w:rPr>
          <w:b/>
          <w:color w:val="000000"/>
          <w:sz w:val="28"/>
          <w:szCs w:val="28"/>
        </w:rPr>
        <w:t>Методические указания</w:t>
      </w:r>
      <w:r w:rsidR="00D1371D" w:rsidRPr="00E50562">
        <w:rPr>
          <w:b/>
          <w:color w:val="000000"/>
          <w:sz w:val="28"/>
          <w:szCs w:val="28"/>
        </w:rPr>
        <w:t xml:space="preserve"> по работе с научной и учебной литературой </w:t>
      </w:r>
    </w:p>
    <w:p w:rsidR="00F73953" w:rsidRPr="00E50562" w:rsidRDefault="00F73953" w:rsidP="008B64DC">
      <w:pPr>
        <w:ind w:firstLine="709"/>
        <w:jc w:val="both"/>
        <w:rPr>
          <w:color w:val="000000"/>
          <w:szCs w:val="28"/>
        </w:rPr>
      </w:pPr>
    </w:p>
    <w:p w:rsidR="00D441B7" w:rsidRPr="00E50562" w:rsidRDefault="00D441B7" w:rsidP="00D441B7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Работу  с  литературой  следует  начинать  с  анализа  РПД, в которой перечислены основная и дополнительная литература, учебно-методические издания необходимые для изучения дисциплины и  работы  на  практических  занятиях. </w:t>
      </w:r>
    </w:p>
    <w:p w:rsidR="00D441B7" w:rsidRPr="00E50562" w:rsidRDefault="00D441B7" w:rsidP="00D441B7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Выбрав  нужный  источник,  следует  найти  интересующий  раздел  по  оглавлению или алфавитному указателю, а также одноименный раздел конспекта лекций или учебного пособия. В случае возникших затруднений в понимании учебного материала  следует  обратиться к другим источникам, где изложение может оказаться более доступным. Необходимо отметить, что работа с литературой не только полезна как средство более глубокого изучения любой дисциплины, но и является неотъемлемой  частью  профессиональной деятельности будущего выпускника.  </w:t>
      </w:r>
    </w:p>
    <w:p w:rsidR="00D441B7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Работа с учебной и научной литературой  является  главной  формой самостоятельной работы и необходима при подготовке к зачету. Она включает изучение рекомендованных источников и литературы по тематике лекций.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В процессе работы с учебной и научной литературой студент может: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составлять тезисы (цитирование наиболее важных мест статьи или монографии, короткое изложение основных мыслей автора);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готовить аннотации (краткое обобщение основных вопросов работы);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создавать конспекты (развернутые тезисы, которые). </w:t>
      </w:r>
    </w:p>
    <w:p w:rsidR="00E50562" w:rsidRDefault="00E50562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96092" w:rsidRPr="00E50562" w:rsidRDefault="000C3BE5" w:rsidP="0029609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B2CCB" w:rsidRPr="00E50562">
        <w:rPr>
          <w:b/>
          <w:color w:val="000000"/>
          <w:sz w:val="28"/>
          <w:szCs w:val="28"/>
        </w:rPr>
        <w:t xml:space="preserve"> Методические указания по промежуточной аттестации по дисциплине</w:t>
      </w:r>
    </w:p>
    <w:p w:rsidR="000B2CCB" w:rsidRPr="00E50562" w:rsidRDefault="000B2CCB" w:rsidP="00296092">
      <w:pPr>
        <w:ind w:firstLine="709"/>
        <w:jc w:val="both"/>
        <w:rPr>
          <w:color w:val="000000"/>
          <w:szCs w:val="28"/>
        </w:rPr>
      </w:pP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Процедура проведения оценочных мероприятий имеет следующий вид: </w:t>
      </w:r>
    </w:p>
    <w:p w:rsidR="00296092" w:rsidRPr="00E50562" w:rsidRDefault="00296092" w:rsidP="00296092">
      <w:pPr>
        <w:ind w:firstLine="709"/>
        <w:jc w:val="both"/>
        <w:rPr>
          <w:i/>
          <w:color w:val="000000"/>
          <w:szCs w:val="28"/>
        </w:rPr>
      </w:pPr>
      <w:r w:rsidRPr="00E50562">
        <w:rPr>
          <w:i/>
          <w:color w:val="000000"/>
          <w:szCs w:val="28"/>
        </w:rPr>
        <w:t>Промежуточная аттестация</w:t>
      </w:r>
      <w:r w:rsidR="002F41F0">
        <w:rPr>
          <w:i/>
          <w:color w:val="000000"/>
          <w:szCs w:val="28"/>
        </w:rPr>
        <w:t>.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Зачет проводится по расписанию сессии.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Форма проведения занятия – устно-письменная.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Требование к содержанию ответа – дать краткий, но обоснованный с позиций дисциплины четкий ответ на поставленный вопрос.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Итоговая оценка определяется как сумма оценок, полученных в текущей аттестации и по результатам зачета. Проверка ответов и объявление результатов производится в день зачета.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Результаты аттестации заносятся в </w:t>
      </w:r>
      <w:proofErr w:type="spellStart"/>
      <w:r w:rsidRPr="00E50562">
        <w:rPr>
          <w:color w:val="000000"/>
          <w:szCs w:val="28"/>
        </w:rPr>
        <w:t>экзаменационно</w:t>
      </w:r>
      <w:proofErr w:type="spellEnd"/>
      <w:r w:rsidRPr="00E50562">
        <w:rPr>
          <w:color w:val="000000"/>
          <w:szCs w:val="28"/>
        </w:rPr>
        <w:t>-зачетную ведомость и зачетную книжку студента (при получении зачета).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Студенты,  не  прошедшие  промежуточную  аттестацию  по  графику  сессии, должны ликвидировать задолженность в установленном порядке. </w:t>
      </w:r>
    </w:p>
    <w:p w:rsidR="008D7587" w:rsidRPr="00E50562" w:rsidRDefault="008D7587" w:rsidP="00EE2724">
      <w:pPr>
        <w:ind w:firstLine="709"/>
        <w:rPr>
          <w:szCs w:val="28"/>
        </w:rPr>
      </w:pPr>
    </w:p>
    <w:sectPr w:rsidR="008D7587" w:rsidRPr="00E50562" w:rsidSect="003F620E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8C" w:rsidRDefault="0099338C" w:rsidP="00E01DB3">
      <w:r>
        <w:separator/>
      </w:r>
    </w:p>
  </w:endnote>
  <w:endnote w:type="continuationSeparator" w:id="0">
    <w:p w:rsidR="0099338C" w:rsidRDefault="0099338C" w:rsidP="00E0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621909639"/>
      <w:docPartObj>
        <w:docPartGallery w:val="Page Numbers (Bottom of Page)"/>
        <w:docPartUnique/>
      </w:docPartObj>
    </w:sdtPr>
    <w:sdtEndPr/>
    <w:sdtContent>
      <w:p w:rsidR="005A4553" w:rsidRPr="005A4553" w:rsidRDefault="00F87013">
        <w:pPr>
          <w:pStyle w:val="a7"/>
          <w:jc w:val="center"/>
          <w:rPr>
            <w:sz w:val="28"/>
            <w:szCs w:val="28"/>
          </w:rPr>
        </w:pPr>
        <w:r w:rsidRPr="005A4553">
          <w:rPr>
            <w:sz w:val="28"/>
            <w:szCs w:val="28"/>
          </w:rPr>
          <w:fldChar w:fldCharType="begin"/>
        </w:r>
        <w:r w:rsidR="005A4553" w:rsidRPr="005A4553">
          <w:rPr>
            <w:sz w:val="28"/>
            <w:szCs w:val="28"/>
          </w:rPr>
          <w:instrText>PAGE   \* MERGEFORMAT</w:instrText>
        </w:r>
        <w:r w:rsidRPr="005A4553">
          <w:rPr>
            <w:sz w:val="28"/>
            <w:szCs w:val="28"/>
          </w:rPr>
          <w:fldChar w:fldCharType="separate"/>
        </w:r>
        <w:r w:rsidR="00184AB6">
          <w:rPr>
            <w:noProof/>
            <w:sz w:val="28"/>
            <w:szCs w:val="28"/>
          </w:rPr>
          <w:t>10</w:t>
        </w:r>
        <w:r w:rsidRPr="005A4553">
          <w:rPr>
            <w:sz w:val="28"/>
            <w:szCs w:val="28"/>
          </w:rPr>
          <w:fldChar w:fldCharType="end"/>
        </w:r>
      </w:p>
    </w:sdtContent>
  </w:sdt>
  <w:p w:rsidR="005A4553" w:rsidRDefault="005A45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8C" w:rsidRDefault="0099338C" w:rsidP="00E01DB3">
      <w:r>
        <w:separator/>
      </w:r>
    </w:p>
  </w:footnote>
  <w:footnote w:type="continuationSeparator" w:id="0">
    <w:p w:rsidR="0099338C" w:rsidRDefault="0099338C" w:rsidP="00E0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80C"/>
    <w:multiLevelType w:val="hybridMultilevel"/>
    <w:tmpl w:val="B90CABB2"/>
    <w:lvl w:ilvl="0" w:tplc="0710590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EE5166"/>
    <w:multiLevelType w:val="hybridMultilevel"/>
    <w:tmpl w:val="DD0CD0B2"/>
    <w:lvl w:ilvl="0" w:tplc="50E491D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C9"/>
    <w:rsid w:val="0002578B"/>
    <w:rsid w:val="00045303"/>
    <w:rsid w:val="00045AE5"/>
    <w:rsid w:val="0005326E"/>
    <w:rsid w:val="00061F57"/>
    <w:rsid w:val="000B2CCB"/>
    <w:rsid w:val="000B51F3"/>
    <w:rsid w:val="000C3BE5"/>
    <w:rsid w:val="000D40E4"/>
    <w:rsid w:val="000E724A"/>
    <w:rsid w:val="000F7AEE"/>
    <w:rsid w:val="00103AB3"/>
    <w:rsid w:val="00126BE3"/>
    <w:rsid w:val="0016581D"/>
    <w:rsid w:val="00180CB1"/>
    <w:rsid w:val="00181537"/>
    <w:rsid w:val="00182456"/>
    <w:rsid w:val="00184AB6"/>
    <w:rsid w:val="001A4697"/>
    <w:rsid w:val="001E3C09"/>
    <w:rsid w:val="0021286F"/>
    <w:rsid w:val="00214421"/>
    <w:rsid w:val="00223FF4"/>
    <w:rsid w:val="00224D1C"/>
    <w:rsid w:val="002340C2"/>
    <w:rsid w:val="00237070"/>
    <w:rsid w:val="002542EB"/>
    <w:rsid w:val="00264EE7"/>
    <w:rsid w:val="00275713"/>
    <w:rsid w:val="00296092"/>
    <w:rsid w:val="002C2BB7"/>
    <w:rsid w:val="002F41F0"/>
    <w:rsid w:val="002F58F5"/>
    <w:rsid w:val="0030376C"/>
    <w:rsid w:val="00341690"/>
    <w:rsid w:val="00345823"/>
    <w:rsid w:val="003502AD"/>
    <w:rsid w:val="00380C86"/>
    <w:rsid w:val="003B052C"/>
    <w:rsid w:val="003B40EE"/>
    <w:rsid w:val="003C5E25"/>
    <w:rsid w:val="003C7F1F"/>
    <w:rsid w:val="003F0B64"/>
    <w:rsid w:val="003F620E"/>
    <w:rsid w:val="0040005F"/>
    <w:rsid w:val="00423D59"/>
    <w:rsid w:val="00426526"/>
    <w:rsid w:val="004269E2"/>
    <w:rsid w:val="00437213"/>
    <w:rsid w:val="004572B4"/>
    <w:rsid w:val="00460D8B"/>
    <w:rsid w:val="004611E4"/>
    <w:rsid w:val="00491396"/>
    <w:rsid w:val="004A4F81"/>
    <w:rsid w:val="004C5647"/>
    <w:rsid w:val="00555AE2"/>
    <w:rsid w:val="005809FA"/>
    <w:rsid w:val="00582395"/>
    <w:rsid w:val="00584455"/>
    <w:rsid w:val="00597390"/>
    <w:rsid w:val="005A4553"/>
    <w:rsid w:val="005D3FF2"/>
    <w:rsid w:val="005F3430"/>
    <w:rsid w:val="005F7338"/>
    <w:rsid w:val="00613B44"/>
    <w:rsid w:val="0061493D"/>
    <w:rsid w:val="00636532"/>
    <w:rsid w:val="0065033A"/>
    <w:rsid w:val="00666D74"/>
    <w:rsid w:val="00691AB7"/>
    <w:rsid w:val="0069644E"/>
    <w:rsid w:val="006B1049"/>
    <w:rsid w:val="006D496F"/>
    <w:rsid w:val="006F6B3C"/>
    <w:rsid w:val="00731F09"/>
    <w:rsid w:val="00746456"/>
    <w:rsid w:val="00764BB9"/>
    <w:rsid w:val="007673B1"/>
    <w:rsid w:val="00770CA9"/>
    <w:rsid w:val="007A2F34"/>
    <w:rsid w:val="007C157D"/>
    <w:rsid w:val="007C4D81"/>
    <w:rsid w:val="007D61F6"/>
    <w:rsid w:val="007F0A60"/>
    <w:rsid w:val="00807FE1"/>
    <w:rsid w:val="008A4DE3"/>
    <w:rsid w:val="008B64DC"/>
    <w:rsid w:val="008D7587"/>
    <w:rsid w:val="008F1581"/>
    <w:rsid w:val="00924450"/>
    <w:rsid w:val="0098601E"/>
    <w:rsid w:val="0099338C"/>
    <w:rsid w:val="009F3E83"/>
    <w:rsid w:val="00A04B63"/>
    <w:rsid w:val="00A04B7F"/>
    <w:rsid w:val="00A22803"/>
    <w:rsid w:val="00A230C9"/>
    <w:rsid w:val="00A5142C"/>
    <w:rsid w:val="00A92F28"/>
    <w:rsid w:val="00AA42D4"/>
    <w:rsid w:val="00AE75CE"/>
    <w:rsid w:val="00B15A07"/>
    <w:rsid w:val="00B53FFA"/>
    <w:rsid w:val="00BB52B7"/>
    <w:rsid w:val="00BD3A62"/>
    <w:rsid w:val="00BE67BF"/>
    <w:rsid w:val="00C0452E"/>
    <w:rsid w:val="00C1359E"/>
    <w:rsid w:val="00C25187"/>
    <w:rsid w:val="00C5344A"/>
    <w:rsid w:val="00C55B51"/>
    <w:rsid w:val="00CC13BF"/>
    <w:rsid w:val="00CC347B"/>
    <w:rsid w:val="00CE591E"/>
    <w:rsid w:val="00D03EDB"/>
    <w:rsid w:val="00D1371D"/>
    <w:rsid w:val="00D441B7"/>
    <w:rsid w:val="00D533CD"/>
    <w:rsid w:val="00D55898"/>
    <w:rsid w:val="00D72250"/>
    <w:rsid w:val="00D950CD"/>
    <w:rsid w:val="00D97536"/>
    <w:rsid w:val="00DA1677"/>
    <w:rsid w:val="00DB1945"/>
    <w:rsid w:val="00DF3556"/>
    <w:rsid w:val="00DF4F7E"/>
    <w:rsid w:val="00E01DB3"/>
    <w:rsid w:val="00E21751"/>
    <w:rsid w:val="00E367B2"/>
    <w:rsid w:val="00E50562"/>
    <w:rsid w:val="00E56AA9"/>
    <w:rsid w:val="00E70403"/>
    <w:rsid w:val="00E72456"/>
    <w:rsid w:val="00E97EEF"/>
    <w:rsid w:val="00EB624B"/>
    <w:rsid w:val="00EC2D03"/>
    <w:rsid w:val="00ED39CD"/>
    <w:rsid w:val="00EE2724"/>
    <w:rsid w:val="00EF1D71"/>
    <w:rsid w:val="00F12FE9"/>
    <w:rsid w:val="00F423F3"/>
    <w:rsid w:val="00F6044E"/>
    <w:rsid w:val="00F636C9"/>
    <w:rsid w:val="00F73953"/>
    <w:rsid w:val="00F75A8E"/>
    <w:rsid w:val="00F87013"/>
    <w:rsid w:val="00F915F8"/>
    <w:rsid w:val="00FA76AD"/>
    <w:rsid w:val="00FB3CB3"/>
    <w:rsid w:val="00FC54B7"/>
    <w:rsid w:val="00FD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locked/>
    <w:rsid w:val="004269E2"/>
    <w:rPr>
      <w:rFonts w:ascii="Courier New" w:hAnsi="Courier New" w:cs="Courier New"/>
    </w:rPr>
  </w:style>
  <w:style w:type="paragraph" w:styleId="a4">
    <w:name w:val="Plain Text"/>
    <w:aliases w:val="Знак"/>
    <w:basedOn w:val="a"/>
    <w:link w:val="a3"/>
    <w:unhideWhenUsed/>
    <w:rsid w:val="004269E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4269E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426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portHead">
    <w:name w:val="Report_Head"/>
    <w:basedOn w:val="a"/>
    <w:link w:val="ReportHead0"/>
    <w:rsid w:val="00491396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491396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"/>
    <w:link w:val="ReportMain0"/>
    <w:rsid w:val="00E01DB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E01DB3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01DB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01DB3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B15A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A0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2578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5033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locked/>
    <w:rsid w:val="004269E2"/>
    <w:rPr>
      <w:rFonts w:ascii="Courier New" w:hAnsi="Courier New" w:cs="Courier New"/>
    </w:rPr>
  </w:style>
  <w:style w:type="paragraph" w:styleId="a4">
    <w:name w:val="Plain Text"/>
    <w:aliases w:val="Знак"/>
    <w:basedOn w:val="a"/>
    <w:link w:val="a3"/>
    <w:unhideWhenUsed/>
    <w:rsid w:val="004269E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4269E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426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portHead">
    <w:name w:val="Report_Head"/>
    <w:basedOn w:val="a"/>
    <w:link w:val="ReportHead0"/>
    <w:rsid w:val="00491396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491396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"/>
    <w:link w:val="ReportMain0"/>
    <w:rsid w:val="00E01DB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E01DB3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01DB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01DB3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B15A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A0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2578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5033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u.ru/doc/84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A890-9B4D-46C2-936C-09D4B64D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тэра</cp:lastModifiedBy>
  <cp:revision>4</cp:revision>
  <cp:lastPrinted>2019-03-14T06:31:00Z</cp:lastPrinted>
  <dcterms:created xsi:type="dcterms:W3CDTF">2022-05-26T04:18:00Z</dcterms:created>
  <dcterms:modified xsi:type="dcterms:W3CDTF">2022-05-26T04:22:00Z</dcterms:modified>
</cp:coreProperties>
</file>