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372E5">
        <w:rPr>
          <w:i/>
          <w:sz w:val="24"/>
        </w:rPr>
        <w:t>Б.1.Б.19 Физиология человека и животных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857576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857576">
        <w:rPr>
          <w:sz w:val="24"/>
        </w:rPr>
        <w:t>9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Физиология </w:t>
      </w:r>
      <w:r w:rsidR="009372E5">
        <w:rPr>
          <w:sz w:val="28"/>
          <w:szCs w:val="28"/>
        </w:rPr>
        <w:t>человека и животных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 xml:space="preserve">н-т (филиал) </w:t>
      </w:r>
      <w:bookmarkStart w:id="1" w:name="_GoBack"/>
      <w:bookmarkEnd w:id="1"/>
      <w:r w:rsidR="00212FA0">
        <w:rPr>
          <w:sz w:val="28"/>
          <w:szCs w:val="20"/>
        </w:rPr>
        <w:t>ОГУ. – Бузулук</w:t>
      </w:r>
      <w:r w:rsidR="008D4D99">
        <w:rPr>
          <w:sz w:val="28"/>
          <w:szCs w:val="20"/>
        </w:rPr>
        <w:t>: БГТИ (филиал) ОГУ, 201</w:t>
      </w:r>
      <w:r w:rsidR="00857576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57576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372E5" w:rsidRPr="009372E5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2F84" w:rsidRDefault="00442F84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237A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6719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237A9" w:rsidTr="001956A5">
        <w:tc>
          <w:tcPr>
            <w:tcW w:w="1101" w:type="dxa"/>
          </w:tcPr>
          <w:p w:rsidR="00367416" w:rsidRPr="001237A9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237A9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237A9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237A9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1237A9" w:rsidRDefault="00442F8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1237A9" w:rsidP="00442F8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42F84" w:rsidRDefault="00442F8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42F84" w:rsidRDefault="00442F8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>Цель (цели) освоения дисциплины: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i/>
          <w:sz w:val="28"/>
        </w:rPr>
      </w:pPr>
      <w:r w:rsidRPr="009372E5">
        <w:rPr>
          <w:sz w:val="28"/>
        </w:rPr>
        <w:t>изучение организма человека как единой морфофизиологической системы на органном, системном, организменном уровнях; овладение современными теоретическими знаниями о физиологических функциях и методах их исследования.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 xml:space="preserve">Задачи: 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</w:rPr>
      </w:pPr>
      <w:r w:rsidRPr="009372E5">
        <w:rPr>
          <w:sz w:val="28"/>
        </w:rPr>
        <w:t>изучение деятельности различных систем организма в соответствии с принципами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среды, основных физиологических методов анализа и оценки состояния живых систем.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857576" w:rsidRPr="00857576" w:rsidTr="0085757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57576" w:rsidRPr="00857576" w:rsidTr="0085757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69,5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Практические занятия  (ПЗ)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57576" w:rsidRPr="00857576" w:rsidTr="0085757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57576" w:rsidRPr="00857576" w:rsidTr="0085757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37,75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110,5</w:t>
            </w:r>
          </w:p>
        </w:tc>
      </w:tr>
      <w:tr w:rsidR="00857576" w:rsidRPr="00857576" w:rsidTr="0085757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i/>
                <w:sz w:val="24"/>
              </w:rPr>
              <w:t>-  самоподготовка (проработка и повторение лекционного материала и материала учебников и учебных пособий);</w:t>
            </w:r>
          </w:p>
          <w:p w:rsidR="00857576" w:rsidRPr="00857576" w:rsidRDefault="00857576" w:rsidP="00FD5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 занятиям</w:t>
            </w:r>
            <w:r w:rsidR="00FD5ED1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98" w:rsidRDefault="0066719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D1" w:rsidRDefault="00FD5ED1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372E5" w:rsidRPr="00F668F9" w:rsidRDefault="009372E5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6719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6719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6719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671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6671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6719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442F84" w:rsidRDefault="00367416" w:rsidP="00442F8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(3 семестр), экзамен (4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9372E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49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62 </w:t>
      </w:r>
      <w:r w:rsidRPr="009372E5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lastRenderedPageBreak/>
        <w:t>65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повышается вероятность образования тромба внутри сосуда?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66 </w:t>
      </w:r>
      <w:r w:rsidRPr="009372E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69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 xml:space="preserve">70 </w:t>
      </w:r>
      <w:r w:rsidRPr="009372E5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72 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75 </w:t>
      </w:r>
      <w:r w:rsidRPr="009372E5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78 </w:t>
      </w:r>
      <w:r w:rsidRPr="009372E5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79 </w:t>
      </w:r>
      <w:r w:rsidRPr="009372E5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отёки?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84 Для кого более опасны значительные водные нагрузки  - для грудного младенца или для взрослого человека?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прикладывают к языку. На чем основан этот старинный способ?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и психофизиология</w:t>
      </w:r>
      <w:r w:rsidRPr="009372E5">
        <w:rPr>
          <w:rFonts w:ascii="Times New Roman" w:hAnsi="Times New Roman" w:cs="Times New Roman"/>
          <w:sz w:val="28"/>
          <w:szCs w:val="28"/>
        </w:rPr>
        <w:t>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lastRenderedPageBreak/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35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49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59 Основные структуры мозга, обеспечивающие формирование поведенческого акта.</w:t>
      </w:r>
    </w:p>
    <w:p w:rsidR="00367416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237A9" w:rsidRDefault="00442F84" w:rsidP="001237A9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1237A9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1237A9" w:rsidRDefault="00442F84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1237A9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− Солодков, А.С. Физиология человека: общая, спортивная, возрастная : учебник для высших учебных заведений физической культуры [Электронный ресурс]. / А.С. Солодков, Е.Б. Сологуб. - 7-е изд. - Москва : Спорт, 2017. - 621 с. : ил. - ISBN 978-5-906839-86-2. – Режим доступа: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http://biblioclub.ru/index.php?page=book&amp;id=461361</w:t>
        </w:r>
      </w:hyperlink>
      <w:r>
        <w:rPr>
          <w:color w:val="454545"/>
          <w:sz w:val="28"/>
          <w:szCs w:val="28"/>
        </w:rPr>
        <w:t>.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891766" w:rsidRDefault="00442F84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1766">
        <w:rPr>
          <w:b/>
          <w:sz w:val="28"/>
          <w:szCs w:val="28"/>
        </w:rPr>
        <w:t>.2 Дополнительная литература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Малый практикум по физиологии человека и животных : учебное пособие [Электронный ресурс]. / Федеральное агентство по образованию Российской Федерации, Федеральное государственное образовательное учреждение высшего профессионального образования «Южный федеральный университет», Биолого-почвенный факультет. - Ростов-на-Дону : Издательство Южного федерального университета, 2009. - 160 с. - ISBN 978-5-9275-0682-8. – Режим доступа:  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http://biblioclub.ru/index.php?page=book&amp;id=240935</w:t>
        </w:r>
      </w:hyperlink>
      <w:r>
        <w:rPr>
          <w:sz w:val="28"/>
          <w:szCs w:val="28"/>
        </w:rPr>
        <w:t xml:space="preserve">; 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Бельченко, Л.А. Физиология человека: Организм как целое : учебно-методический комплекс [Электронный ресурс]. 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5-94087-065-1. – Режим доступа: </w:t>
      </w:r>
      <w:hyperlink r:id="rId11" w:history="1">
        <w:r>
          <w:rPr>
            <w:rStyle w:val="ac"/>
            <w:sz w:val="28"/>
            <w:szCs w:val="28"/>
          </w:rPr>
          <w:t>http://biblioclub.ru/index.php?page=book&amp;id=57180</w:t>
        </w:r>
      </w:hyperlink>
      <w:r>
        <w:rPr>
          <w:sz w:val="28"/>
          <w:szCs w:val="28"/>
        </w:rPr>
        <w:t>.</w:t>
      </w:r>
    </w:p>
    <w:p w:rsidR="00891766" w:rsidRDefault="00891766" w:rsidP="008917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Анатомия и физиология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автор-составитель С. С. Тверская.- 4-е изд., испр. и доп. – Москва ; Воронеж : МПСИ : НПО МОДЭК, 2010. - 352 с. - (Российская Академия Образования Московский Психолого-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Социальный Институт). - Библиогр.: с. 347-349 - ISBN 978-5-9770-0431-2. - ISBN 978-5-89395-956-7.</w:t>
      </w:r>
    </w:p>
    <w:p w:rsidR="00891766" w:rsidRDefault="00891766" w:rsidP="008917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Чиркова, Е.Н. Физиология человека и животных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[Электронный ресурс]. </w:t>
      </w:r>
      <w:r>
        <w:rPr>
          <w:rFonts w:ascii="Times New Roman" w:hAnsi="Times New Roman" w:cs="Times New Roman"/>
          <w:sz w:val="28"/>
          <w:szCs w:val="28"/>
        </w:rPr>
        <w:t>/ Е.Н. Чиркова, С.М. Завалеева, Н.Н. Садыкова ; Министерство образования и науки Российской Федерации, Оренбургский Государственный Университет. – Оренбург : Оренбургский государственный университет, 2017. – 117 с. : ил. – Режим доступа:</w:t>
      </w:r>
      <w:r>
        <w:rPr>
          <w:rFonts w:ascii="Times New Roman" w:hAnsi="Times New Roman" w:cs="Times New Roman"/>
          <w:color w:val="454545"/>
          <w:sz w:val="28"/>
          <w:szCs w:val="28"/>
        </w:rPr>
        <w:t> </w:t>
      </w:r>
      <w:hyperlink r:id="rId12" w:history="1">
        <w:r>
          <w:rPr>
            <w:rStyle w:val="ac"/>
            <w:rFonts w:ascii="Times New Roman" w:hAnsi="Times New Roman" w:cs="Times New Roman"/>
            <w:color w:val="006CA1"/>
            <w:sz w:val="28"/>
            <w:szCs w:val="28"/>
          </w:rPr>
          <w:t>http://biblioclub.ru/index.php?page=book&amp;id=481733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35C7" w:rsidRPr="001237A9" w:rsidRDefault="00442F84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237A9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bCs/>
          <w:sz w:val="28"/>
          <w:szCs w:val="28"/>
        </w:rPr>
        <w:t>- Вестник Оренбургского государственного университета</w:t>
      </w:r>
      <w:r w:rsidRPr="001237A9">
        <w:rPr>
          <w:sz w:val="28"/>
          <w:szCs w:val="28"/>
        </w:rPr>
        <w:t>: журнал. - Оренбург : ГОУ ОГУ, 2017;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Здоро</w:t>
      </w:r>
      <w:r>
        <w:rPr>
          <w:sz w:val="28"/>
          <w:szCs w:val="28"/>
        </w:rPr>
        <w:t>вье населения и среда обитания: журнал. - Москва</w:t>
      </w:r>
      <w:r w:rsidRPr="001237A9">
        <w:rPr>
          <w:sz w:val="28"/>
          <w:szCs w:val="28"/>
        </w:rPr>
        <w:t>: ФБУЗ Федеральный центр гигиены и эпидемиологии, 2017;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Ф</w:t>
      </w:r>
      <w:r>
        <w:rPr>
          <w:sz w:val="28"/>
          <w:szCs w:val="28"/>
        </w:rPr>
        <w:t xml:space="preserve">изиология человека </w:t>
      </w:r>
      <w:r w:rsidRPr="001237A9">
        <w:rPr>
          <w:sz w:val="28"/>
          <w:szCs w:val="28"/>
        </w:rPr>
        <w:t>: журнал. - Москва : Наука, 2017.</w:t>
      </w:r>
    </w:p>
    <w:p w:rsidR="00DF35C7" w:rsidRPr="001237A9" w:rsidRDefault="00442F84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237A9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1237A9" w:rsidRPr="001237A9" w:rsidRDefault="001237A9" w:rsidP="001237A9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3" w:history="1">
        <w:r w:rsidRPr="0012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1237A9">
        <w:rPr>
          <w:rFonts w:ascii="Times New Roman" w:hAnsi="Times New Roman" w:cs="Times New Roman"/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237A9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1237A9">
          <w:rPr>
            <w:rStyle w:val="ac"/>
            <w:sz w:val="28"/>
            <w:szCs w:val="28"/>
          </w:rPr>
          <w:t>http://www.en.edu.ru/</w:t>
        </w:r>
      </w:hyperlink>
      <w:r w:rsidRPr="001237A9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C9" w:rsidRDefault="001E3EC9" w:rsidP="00FF0076">
      <w:pPr>
        <w:spacing w:after="0" w:line="240" w:lineRule="auto"/>
      </w:pPr>
      <w:r>
        <w:separator/>
      </w:r>
    </w:p>
  </w:endnote>
  <w:endnote w:type="continuationSeparator" w:id="0">
    <w:p w:rsidR="001E3EC9" w:rsidRDefault="001E3EC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E386C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A27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C9" w:rsidRDefault="001E3EC9" w:rsidP="00FF0076">
      <w:pPr>
        <w:spacing w:after="0" w:line="240" w:lineRule="auto"/>
      </w:pPr>
      <w:r>
        <w:separator/>
      </w:r>
    </w:p>
  </w:footnote>
  <w:footnote w:type="continuationSeparator" w:id="0">
    <w:p w:rsidR="001E3EC9" w:rsidRDefault="001E3EC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37A9"/>
    <w:rsid w:val="0014634D"/>
    <w:rsid w:val="001658AC"/>
    <w:rsid w:val="001956A5"/>
    <w:rsid w:val="001A4606"/>
    <w:rsid w:val="001B7D6D"/>
    <w:rsid w:val="001D7187"/>
    <w:rsid w:val="001E3EC9"/>
    <w:rsid w:val="001F7459"/>
    <w:rsid w:val="00212FA0"/>
    <w:rsid w:val="00227CD4"/>
    <w:rsid w:val="00233ED5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42F84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67198"/>
    <w:rsid w:val="006A5588"/>
    <w:rsid w:val="006E0A99"/>
    <w:rsid w:val="006E3188"/>
    <w:rsid w:val="00733C5E"/>
    <w:rsid w:val="007716C5"/>
    <w:rsid w:val="007E711B"/>
    <w:rsid w:val="008533FE"/>
    <w:rsid w:val="00857576"/>
    <w:rsid w:val="00882AF4"/>
    <w:rsid w:val="00891766"/>
    <w:rsid w:val="008C1505"/>
    <w:rsid w:val="008D09C5"/>
    <w:rsid w:val="008D4D99"/>
    <w:rsid w:val="008E4AC3"/>
    <w:rsid w:val="00916BDD"/>
    <w:rsid w:val="009372E5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368A5"/>
    <w:rsid w:val="00C56C34"/>
    <w:rsid w:val="00C8417B"/>
    <w:rsid w:val="00CA08AE"/>
    <w:rsid w:val="00CB300C"/>
    <w:rsid w:val="00CE386C"/>
    <w:rsid w:val="00D00AB0"/>
    <w:rsid w:val="00D25B75"/>
    <w:rsid w:val="00D300B3"/>
    <w:rsid w:val="00D63633"/>
    <w:rsid w:val="00DF35C7"/>
    <w:rsid w:val="00DF3E67"/>
    <w:rsid w:val="00E02DC5"/>
    <w:rsid w:val="00E06A27"/>
    <w:rsid w:val="00E272D8"/>
    <w:rsid w:val="00E44499"/>
    <w:rsid w:val="00E64344"/>
    <w:rsid w:val="00E84B89"/>
    <w:rsid w:val="00E908CB"/>
    <w:rsid w:val="00E91A65"/>
    <w:rsid w:val="00EC49B3"/>
    <w:rsid w:val="00EC6DE4"/>
    <w:rsid w:val="00EC7CD5"/>
    <w:rsid w:val="00F05A2E"/>
    <w:rsid w:val="00F528CD"/>
    <w:rsid w:val="00F668F9"/>
    <w:rsid w:val="00FB6981"/>
    <w:rsid w:val="00FD5ED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i.img.ra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817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18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409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61361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B3BE-4DAC-4E86-87F7-E49C57CF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dcterms:created xsi:type="dcterms:W3CDTF">2020-02-13T08:20:00Z</dcterms:created>
  <dcterms:modified xsi:type="dcterms:W3CDTF">2020-02-13T08:20:00Z</dcterms:modified>
</cp:coreProperties>
</file>