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>
        <w:rPr>
          <w:i/>
          <w:sz w:val="24"/>
        </w:rPr>
        <w:t>Исследовате</w:t>
      </w:r>
      <w:r w:rsidR="004C2F5A">
        <w:rPr>
          <w:i/>
          <w:sz w:val="24"/>
        </w:rPr>
        <w:t>льская деятельность в начальном</w:t>
      </w:r>
      <w:r>
        <w:rPr>
          <w:i/>
          <w:sz w:val="24"/>
        </w:rPr>
        <w:t xml:space="preserve"> образовании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2163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 деятельность в начальном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</w:t>
      </w:r>
      <w:r w:rsidR="003F57C0">
        <w:rPr>
          <w:rFonts w:ascii="Times New Roman" w:hAnsi="Times New Roman"/>
          <w:sz w:val="28"/>
          <w:szCs w:val="28"/>
        </w:rPr>
        <w:t>а</w:t>
      </w:r>
      <w:r w:rsidR="003F57C0">
        <w:rPr>
          <w:rFonts w:ascii="Times New Roman" w:hAnsi="Times New Roman"/>
          <w:sz w:val="28"/>
          <w:szCs w:val="28"/>
        </w:rPr>
        <w:t>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81CFB">
        <w:rPr>
          <w:rFonts w:ascii="Times New Roman" w:eastAsia="Times New Roman" w:hAnsi="Times New Roman"/>
          <w:sz w:val="28"/>
          <w:szCs w:val="28"/>
        </w:rPr>
        <w:t>Исследовател</w:t>
      </w:r>
      <w:r w:rsidR="00D81CFB">
        <w:rPr>
          <w:rFonts w:ascii="Times New Roman" w:eastAsia="Times New Roman" w:hAnsi="Times New Roman"/>
          <w:sz w:val="28"/>
          <w:szCs w:val="28"/>
        </w:rPr>
        <w:t>ь</w:t>
      </w:r>
      <w:r w:rsidR="004C2F5A">
        <w:rPr>
          <w:rFonts w:ascii="Times New Roman" w:eastAsia="Times New Roman" w:hAnsi="Times New Roman"/>
          <w:sz w:val="28"/>
          <w:szCs w:val="28"/>
        </w:rPr>
        <w:t>ская деятельность в начальном</w:t>
      </w:r>
      <w:r w:rsidR="00D81CFB">
        <w:rPr>
          <w:rFonts w:ascii="Times New Roman" w:eastAsia="Times New Roman" w:hAnsi="Times New Roman"/>
          <w:sz w:val="28"/>
          <w:szCs w:val="28"/>
        </w:rPr>
        <w:t xml:space="preserve">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20035" w:rsidRDefault="00D20035" w:rsidP="00D2003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301944" w:rsidTr="0030194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301944" w:rsidTr="0030194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основные требования к методическим и практическим обоснованиям использования систематизированных теоретических и практических для постановки и решения исследовательских задач в области образования;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решения исследовательских задач. </w:t>
            </w:r>
          </w:p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>использовать  теоретические и практические знания в конкретной  практико-ориентированной профессиональной деятельности; анализировать научную и методическую литературу 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 посредством решения исследовательских задач в области образования;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применять  систематизированные научные знания в организации и реализации  исследовательского процесса в области образования.</w:t>
            </w:r>
            <w:proofErr w:type="gramEnd"/>
          </w:p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>навыками организации  исследовательской   деятельности; постановки и решения исследовательских задач в области образования;  практической  реализации  результатов решения исследовательских задач  в условиях  осуществления конкретной научно-методической и педагогической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301944" w:rsidTr="0030194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 xml:space="preserve">основы  и требования организации познавательной и исследовательской деятельности школьников на уровне начального </w:t>
            </w:r>
            <w:r>
              <w:rPr>
                <w:rFonts w:eastAsia="Times New Roman"/>
              </w:rPr>
              <w:lastRenderedPageBreak/>
              <w:t>общего образования; особенности творческой и познавательной деятельности обучающихся на уровне начального общего образования.</w:t>
            </w:r>
          </w:p>
          <w:p w:rsidR="00301944" w:rsidRDefault="00301944" w:rsidP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использовать образовательные и методические возможности в 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 на уровне начального общего образования</w:t>
            </w:r>
          </w:p>
          <w:p w:rsidR="00301944" w:rsidRDefault="00301944" w:rsidP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практическими навыками выстраивания исследовательской и познавательной деятельности обучающихся; знаниями о  возрастных, психологических особенностях субъектов образовательной деятельности (школьников) как участников образовательного процесса.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ПК-12 способность руководить учебно-</w:t>
            </w:r>
            <w:r>
              <w:rPr>
                <w:rFonts w:eastAsia="Times New Roman"/>
              </w:rPr>
              <w:lastRenderedPageBreak/>
              <w:t xml:space="preserve">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301944" w:rsidRDefault="00301944" w:rsidP="00301944">
      <w:pPr>
        <w:pStyle w:val="ReportMain"/>
        <w:suppressAutoHyphens/>
        <w:ind w:firstLine="709"/>
        <w:jc w:val="both"/>
        <w:rPr>
          <w:szCs w:val="20"/>
        </w:rPr>
      </w:pPr>
    </w:p>
    <w:p w:rsidR="00301944" w:rsidRDefault="00301944" w:rsidP="00301944">
      <w:pPr>
        <w:pStyle w:val="ReportMain"/>
        <w:suppressAutoHyphens/>
        <w:ind w:firstLine="709"/>
        <w:jc w:val="both"/>
      </w:pPr>
    </w:p>
    <w:p w:rsidR="00301944" w:rsidRDefault="00301944" w:rsidP="00301944">
      <w:pPr>
        <w:pStyle w:val="ReportMain"/>
        <w:suppressAutoHyphens/>
        <w:ind w:firstLine="709"/>
        <w:jc w:val="both"/>
      </w:pPr>
    </w:p>
    <w:p w:rsidR="00301944" w:rsidRDefault="00301944" w:rsidP="0030194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301944" w:rsidRDefault="00301944" w:rsidP="0030194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301944" w:rsidRDefault="00301944" w:rsidP="00301944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301944" w:rsidRDefault="00301944" w:rsidP="0030194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6889"/>
        <w:gridCol w:w="1284"/>
        <w:gridCol w:w="1284"/>
      </w:tblGrid>
      <w:tr w:rsidR="00301944" w:rsidTr="00301944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01944" w:rsidTr="0030194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</w:tr>
      <w:tr w:rsidR="00301944" w:rsidTr="00301944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01944" w:rsidTr="00301944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самостоятельное изучение разделов);</w:t>
            </w:r>
          </w:p>
          <w:p w:rsidR="00301944" w:rsidRDefault="0030194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01944" w:rsidRDefault="0030194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01944" w:rsidRDefault="00301944" w:rsidP="00301944">
      <w:pPr>
        <w:pStyle w:val="ReportMain"/>
        <w:suppressAutoHyphens/>
        <w:ind w:firstLine="709"/>
        <w:jc w:val="both"/>
        <w:rPr>
          <w:szCs w:val="20"/>
        </w:rPr>
      </w:pPr>
    </w:p>
    <w:p w:rsidR="00301944" w:rsidRDefault="00301944" w:rsidP="00301944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301944" w:rsidRDefault="00301944" w:rsidP="00301944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56"/>
        <w:gridCol w:w="4705"/>
        <w:gridCol w:w="1055"/>
        <w:gridCol w:w="528"/>
        <w:gridCol w:w="528"/>
        <w:gridCol w:w="530"/>
        <w:gridCol w:w="1055"/>
      </w:tblGrid>
      <w:tr w:rsidR="00301944" w:rsidTr="0030194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01944" w:rsidTr="0030194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01944" w:rsidTr="0030194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Понятие научно-исследовательской деятел</w:t>
            </w:r>
            <w:r>
              <w:rPr>
                <w:rFonts w:eastAsia="Times New Roman"/>
                <w:sz w:val="23"/>
                <w:szCs w:val="23"/>
              </w:rPr>
              <w:t>ь</w:t>
            </w:r>
            <w:r>
              <w:rPr>
                <w:rFonts w:eastAsia="Times New Roman"/>
                <w:sz w:val="23"/>
                <w:szCs w:val="23"/>
              </w:rPr>
              <w:t>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Методология и методы научно-исследовательской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Организация и руководство учебно-исследовательской работой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обучающихся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</w:tbl>
    <w:p w:rsidR="00301944" w:rsidRDefault="00301944" w:rsidP="00D20035">
      <w:pPr>
        <w:pStyle w:val="ReportMain"/>
        <w:suppressAutoHyphens/>
        <w:ind w:firstLine="709"/>
        <w:jc w:val="both"/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E600FC">
        <w:pPr>
          <w:pStyle w:val="a7"/>
          <w:jc w:val="center"/>
        </w:pPr>
        <w:fldSimple w:instr="PAGE   \* MERGEFORMAT">
          <w:r w:rsidR="0002163B">
            <w:rPr>
              <w:noProof/>
            </w:rPr>
            <w:t>1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E5EF-9B7C-46E7-8822-A70304B2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26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dcterms:created xsi:type="dcterms:W3CDTF">2016-10-09T16:26:00Z</dcterms:created>
  <dcterms:modified xsi:type="dcterms:W3CDTF">2019-11-02T04:48:00Z</dcterms:modified>
</cp:coreProperties>
</file>