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591103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DD671C">
        <w:rPr>
          <w:rFonts w:ascii="Times New Roman" w:hAnsi="Times New Roman"/>
          <w:szCs w:val="28"/>
        </w:rPr>
        <w:t>2</w:t>
      </w:r>
      <w:r w:rsidR="00FA0298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bookmarkStart w:id="0" w:name="_GoBack"/>
      <w:r w:rsidR="00FA0298" w:rsidRPr="00FA0298">
        <w:rPr>
          <w:rFonts w:ascii="Times New Roman" w:hAnsi="Times New Roman"/>
          <w:szCs w:val="20"/>
        </w:rPr>
        <w:t>Т.А. Горяйнова</w:t>
      </w:r>
      <w:bookmarkEnd w:id="0"/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DD671C">
        <w:rPr>
          <w:rFonts w:ascii="Times New Roman" w:hAnsi="Times New Roman"/>
          <w:szCs w:val="28"/>
        </w:rPr>
        <w:t>2</w:t>
      </w:r>
      <w:r w:rsidR="00FA0298">
        <w:rPr>
          <w:rFonts w:ascii="Times New Roman" w:hAnsi="Times New Roman"/>
          <w:szCs w:val="28"/>
        </w:rPr>
        <w:t>1</w:t>
      </w:r>
      <w:r w:rsidRPr="00EB31BF">
        <w:rPr>
          <w:rFonts w:ascii="Times New Roman" w:hAnsi="Times New Roman"/>
          <w:szCs w:val="28"/>
        </w:rPr>
        <w:t xml:space="preserve">.- </w:t>
      </w:r>
      <w:r w:rsidR="00591103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D4695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AD4695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AD469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AD4695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D469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D4695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D469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591103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591103">
        <w:rPr>
          <w:b w:val="0"/>
          <w:sz w:val="28"/>
          <w:szCs w:val="28"/>
        </w:rPr>
        <w:t xml:space="preserve">контрольной работы………….7 </w:t>
      </w:r>
    </w:p>
    <w:p w:rsidR="00EA4867" w:rsidRPr="00EB31BF" w:rsidRDefault="00AD4695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</w:t>
      </w:r>
      <w:r w:rsidR="00591103">
        <w:rPr>
          <w:sz w:val="28"/>
          <w:szCs w:val="28"/>
        </w:rPr>
        <w:t xml:space="preserve">выполнить </w:t>
      </w:r>
      <w:r w:rsidRPr="00EB31BF">
        <w:rPr>
          <w:sz w:val="28"/>
          <w:szCs w:val="28"/>
        </w:rPr>
        <w:t>заготов</w:t>
      </w:r>
      <w:r w:rsidR="00591103">
        <w:rPr>
          <w:sz w:val="28"/>
          <w:szCs w:val="28"/>
        </w:rPr>
        <w:t>ки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591103">
        <w:rPr>
          <w:rFonts w:ascii="Times New Roman" w:hAnsi="Times New Roman"/>
          <w:sz w:val="28"/>
          <w:szCs w:val="28"/>
        </w:rPr>
        <w:t>контрольной раб</w:t>
      </w:r>
      <w:r w:rsidR="00591103">
        <w:rPr>
          <w:rFonts w:ascii="Times New Roman" w:hAnsi="Times New Roman"/>
          <w:sz w:val="28"/>
          <w:szCs w:val="28"/>
        </w:rPr>
        <w:t>о</w:t>
      </w:r>
      <w:r w:rsidR="00591103">
        <w:rPr>
          <w:rFonts w:ascii="Times New Roman" w:hAnsi="Times New Roman"/>
          <w:sz w:val="28"/>
          <w:szCs w:val="28"/>
        </w:rPr>
        <w:t>ты</w:t>
      </w:r>
      <w:r w:rsidRPr="00EB31BF">
        <w:rPr>
          <w:rFonts w:ascii="Times New Roman" w:hAnsi="Times New Roman"/>
          <w:sz w:val="28"/>
          <w:szCs w:val="28"/>
        </w:rPr>
        <w:t>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01C" w:rsidRPr="00D6601C" w:rsidRDefault="00591103" w:rsidP="00591103">
      <w:pPr>
        <w:pStyle w:val="21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>
        <w:t>контрольной работы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591103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  <w:r w:rsidR="004E7282" w:rsidRPr="004E7282">
        <w:rPr>
          <w:rFonts w:ascii="Times New Roman" w:hAnsi="Times New Roman"/>
          <w:sz w:val="28"/>
          <w:szCs w:val="28"/>
        </w:rPr>
        <w:t xml:space="preserve"> является формой проверки самостоятельной р</w:t>
      </w:r>
      <w:r w:rsidR="004E7282" w:rsidRPr="004E7282">
        <w:rPr>
          <w:rFonts w:ascii="Times New Roman" w:hAnsi="Times New Roman"/>
          <w:sz w:val="28"/>
          <w:szCs w:val="28"/>
        </w:rPr>
        <w:t>а</w:t>
      </w:r>
      <w:r w:rsidR="004E7282" w:rsidRPr="004E7282">
        <w:rPr>
          <w:rFonts w:ascii="Times New Roman" w:hAnsi="Times New Roman"/>
          <w:sz w:val="28"/>
          <w:szCs w:val="28"/>
        </w:rPr>
        <w:t xml:space="preserve">боты студентов </w:t>
      </w:r>
      <w:r>
        <w:rPr>
          <w:rFonts w:ascii="Times New Roman" w:hAnsi="Times New Roman"/>
          <w:sz w:val="28"/>
          <w:szCs w:val="28"/>
        </w:rPr>
        <w:t>за</w:t>
      </w:r>
      <w:r w:rsidR="004E7282" w:rsidRPr="004E7282">
        <w:rPr>
          <w:rFonts w:ascii="Times New Roman" w:hAnsi="Times New Roman"/>
          <w:sz w:val="28"/>
          <w:szCs w:val="28"/>
        </w:rPr>
        <w:t xml:space="preserve">очной формы обучения. В </w:t>
      </w:r>
      <w:r>
        <w:rPr>
          <w:rFonts w:ascii="Times New Roman" w:hAnsi="Times New Roman"/>
          <w:sz w:val="28"/>
          <w:szCs w:val="28"/>
        </w:rPr>
        <w:t>контрольной работе</w:t>
      </w:r>
      <w:r w:rsidR="004E7282" w:rsidRPr="004E7282">
        <w:rPr>
          <w:rFonts w:ascii="Times New Roman" w:hAnsi="Times New Roman"/>
          <w:sz w:val="28"/>
          <w:szCs w:val="28"/>
        </w:rPr>
        <w:t xml:space="preserve"> студент должен показать: прочные теоретические знания по избранной теме и пр</w:t>
      </w:r>
      <w:r w:rsidR="004E7282" w:rsidRPr="004E7282">
        <w:rPr>
          <w:rFonts w:ascii="Times New Roman" w:hAnsi="Times New Roman"/>
          <w:sz w:val="28"/>
          <w:szCs w:val="28"/>
        </w:rPr>
        <w:t>о</w:t>
      </w:r>
      <w:r w:rsidR="004E7282" w:rsidRPr="004E7282">
        <w:rPr>
          <w:rFonts w:ascii="Times New Roman" w:hAnsi="Times New Roman"/>
          <w:sz w:val="28"/>
          <w:szCs w:val="28"/>
        </w:rPr>
        <w:t>блемное изложение теоретического материала; умение изучать, анализир</w:t>
      </w:r>
      <w:r w:rsidR="004E7282" w:rsidRPr="004E7282">
        <w:rPr>
          <w:rFonts w:ascii="Times New Roman" w:hAnsi="Times New Roman"/>
          <w:sz w:val="28"/>
          <w:szCs w:val="28"/>
        </w:rPr>
        <w:t>о</w:t>
      </w:r>
      <w:r w:rsidR="004E7282" w:rsidRPr="004E7282">
        <w:rPr>
          <w:rFonts w:ascii="Times New Roman" w:hAnsi="Times New Roman"/>
          <w:sz w:val="28"/>
          <w:szCs w:val="28"/>
        </w:rPr>
        <w:t>вать и обобщать литературные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ную нумерацию по всему тексту. Номер страницы проставляют в правом нижнем углу углового штампа. Контрольная работа должна содержать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дующие структурные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 конце </w:t>
      </w:r>
      <w:r w:rsidR="00591103">
        <w:rPr>
          <w:rFonts w:ascii="Times New Roman" w:hAnsi="Times New Roman"/>
          <w:sz w:val="28"/>
          <w:szCs w:val="28"/>
        </w:rPr>
        <w:t>работы</w:t>
      </w:r>
      <w:r w:rsidRPr="004E7282">
        <w:rPr>
          <w:rFonts w:ascii="Times New Roman" w:hAnsi="Times New Roman"/>
          <w:sz w:val="28"/>
          <w:szCs w:val="28"/>
        </w:rPr>
        <w:t xml:space="preserve"> указывается список используемой литературы. При выполнении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</w:t>
      </w:r>
      <w:r w:rsidR="00591103">
        <w:rPr>
          <w:rFonts w:ascii="Times New Roman" w:hAnsi="Times New Roman"/>
          <w:sz w:val="28"/>
          <w:szCs w:val="28"/>
        </w:rPr>
        <w:t>5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591103">
        <w:rPr>
          <w:rFonts w:ascii="Times New Roman" w:hAnsi="Times New Roman"/>
          <w:sz w:val="28"/>
          <w:szCs w:val="28"/>
        </w:rPr>
        <w:t>контрольную работу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95" w:rsidRDefault="00AD4695" w:rsidP="00D06FB8">
      <w:pPr>
        <w:spacing w:after="0" w:line="240" w:lineRule="auto"/>
      </w:pPr>
      <w:r>
        <w:separator/>
      </w:r>
    </w:p>
  </w:endnote>
  <w:endnote w:type="continuationSeparator" w:id="0">
    <w:p w:rsidR="00AD4695" w:rsidRDefault="00AD4695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FA0298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95" w:rsidRDefault="00AD4695" w:rsidP="00D06FB8">
      <w:pPr>
        <w:spacing w:after="0" w:line="240" w:lineRule="auto"/>
      </w:pPr>
      <w:r>
        <w:separator/>
      </w:r>
    </w:p>
  </w:footnote>
  <w:footnote w:type="continuationSeparator" w:id="0">
    <w:p w:rsidR="00AD4695" w:rsidRDefault="00AD4695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91103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D4695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04E8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671C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0298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16387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14</cp:revision>
  <cp:lastPrinted>2019-10-22T08:05:00Z</cp:lastPrinted>
  <dcterms:created xsi:type="dcterms:W3CDTF">2019-09-18T08:06:00Z</dcterms:created>
  <dcterms:modified xsi:type="dcterms:W3CDTF">2021-11-19T09:29:00Z</dcterms:modified>
</cp:coreProperties>
</file>