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9420F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69420F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8A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9D67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разнообразных методов по духовно-нравственному воспитанию и развитию личности 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</w:t>
      </w:r>
      <w:r w:rsidR="009D67BD" w:rsidRPr="009D67BD">
        <w:rPr>
          <w:rFonts w:ascii="Times New Roman" w:hAnsi="Times New Roman" w:cs="Times New Roman"/>
          <w:b/>
          <w:sz w:val="28"/>
          <w:szCs w:val="28"/>
          <w:lang w:eastAsia="ru-RU"/>
        </w:rPr>
        <w:t>Факторы становления и развитие аксиологии образования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9D67BD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2</w:t>
      </w:r>
      <w:r w:rsidR="00D55246"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9D67BD" w:rsidRDefault="009D67BD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9D67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9D67BD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9D6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D67BD" w:rsidRDefault="009D67BD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Собеседование (на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9D67BD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Экзамен</w:t>
            </w:r>
            <w:r w:rsidR="00FC17A2"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(диффере</w:t>
            </w:r>
            <w:r w:rsidR="00FC17A2"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="00FC17A2"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цированный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9D67BD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C17A2"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C17A2"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 может быть принято решение о признании студента освоившим отдел</w:t>
            </w:r>
            <w:r w:rsidR="00FC17A2"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C17A2"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учебного предмета по итогам семестра и  проставлении в з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четную книжку студента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.  Студент, не выполнивший минимальный объем учебной работы по дисциплине, не д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пускается к сдаче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экзамена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17A2" w:rsidRPr="00C77C5E" w:rsidRDefault="009D67BD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сдается в устной фо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C17A2"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9D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  законами;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9D67BD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сутствует, выводы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BD" w:rsidRPr="00C77C5E" w:rsidTr="009D67BD">
        <w:trPr>
          <w:trHeight w:val="5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D" w:rsidRDefault="009D67BD" w:rsidP="009D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D67BD" w:rsidRDefault="009D67BD" w:rsidP="009D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7BD" w:rsidRPr="00C77C5E" w:rsidRDefault="009D67BD" w:rsidP="009D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D" w:rsidRPr="00E26786" w:rsidRDefault="009D67BD" w:rsidP="009D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термин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 и понятиями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са, последовательное и логичное излож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материала курса; законченные выводы и обобщения по теме вопросов; исчерп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вающие ответы на вопросы при сдаче экзамена.</w:t>
            </w:r>
          </w:p>
          <w:p w:rsidR="009D67BD" w:rsidRPr="00C77C5E" w:rsidRDefault="009D67BD" w:rsidP="009D67B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D" w:rsidRPr="00E26786" w:rsidRDefault="009D67BD" w:rsidP="009D67B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9D67BD" w:rsidRPr="00C77C5E" w:rsidRDefault="009D67BD" w:rsidP="009D67B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D" w:rsidRPr="00C77C5E" w:rsidRDefault="009D67BD" w:rsidP="009D67B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гает: полные и точные ответы на 1 вопроса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знание основных те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знание и владение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решения задач; недост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 послед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дельные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D" w:rsidRPr="00E26786" w:rsidRDefault="009D67BD" w:rsidP="009D67B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9D67BD" w:rsidRPr="00DD0877" w:rsidRDefault="009D67BD" w:rsidP="009D67B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D67BD" w:rsidRPr="00C77C5E" w:rsidRDefault="009D67BD" w:rsidP="009D67B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61" w:rsidRDefault="00474E61" w:rsidP="009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3D" w:rsidRDefault="00964E3D" w:rsidP="00B24C3E">
      <w:pPr>
        <w:spacing w:after="0" w:line="240" w:lineRule="auto"/>
      </w:pPr>
      <w:r>
        <w:separator/>
      </w:r>
    </w:p>
  </w:endnote>
  <w:endnote w:type="continuationSeparator" w:id="0">
    <w:p w:rsidR="00964E3D" w:rsidRDefault="00964E3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BD" w:rsidRDefault="009D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7BD" w:rsidRDefault="009D67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BD" w:rsidRDefault="009D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20F">
      <w:rPr>
        <w:rStyle w:val="a7"/>
        <w:noProof/>
      </w:rPr>
      <w:t>4</w:t>
    </w:r>
    <w:r>
      <w:rPr>
        <w:rStyle w:val="a7"/>
      </w:rPr>
      <w:fldChar w:fldCharType="end"/>
    </w:r>
  </w:p>
  <w:p w:rsidR="009D67BD" w:rsidRDefault="009D6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3D" w:rsidRDefault="00964E3D" w:rsidP="00B24C3E">
      <w:pPr>
        <w:spacing w:after="0" w:line="240" w:lineRule="auto"/>
      </w:pPr>
      <w:r>
        <w:separator/>
      </w:r>
    </w:p>
  </w:footnote>
  <w:footnote w:type="continuationSeparator" w:id="0">
    <w:p w:rsidR="00964E3D" w:rsidRDefault="00964E3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6458A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47E37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420F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3BBD"/>
    <w:rsid w:val="00964E3D"/>
    <w:rsid w:val="00974957"/>
    <w:rsid w:val="00975A11"/>
    <w:rsid w:val="009969B9"/>
    <w:rsid w:val="009A3196"/>
    <w:rsid w:val="009D4A97"/>
    <w:rsid w:val="009D67BD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D310-65FE-42B5-887D-811257F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23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dcterms:created xsi:type="dcterms:W3CDTF">2016-08-25T17:04:00Z</dcterms:created>
  <dcterms:modified xsi:type="dcterms:W3CDTF">2021-11-24T15:54:00Z</dcterms:modified>
</cp:coreProperties>
</file>