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8B3EBB">
        <w:rPr>
          <w:szCs w:val="28"/>
        </w:rPr>
        <w:t>педагогического образования</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9C6EC0" w:rsidP="00C44B48">
      <w:pPr>
        <w:pStyle w:val="ReportHead"/>
        <w:suppressAutoHyphens/>
        <w:rPr>
          <w:i/>
          <w:szCs w:val="28"/>
          <w:u w:val="single"/>
        </w:rPr>
      </w:pPr>
      <w:r>
        <w:rPr>
          <w:i/>
          <w:szCs w:val="28"/>
          <w:u w:val="single"/>
        </w:rPr>
        <w:t>Иностранный язык</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bookmarkStart w:id="1" w:name="_GoBack"/>
      <w:bookmarkEnd w:id="1"/>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8B3EBB">
        <w:rPr>
          <w:szCs w:val="28"/>
        </w:rPr>
        <w:t>2017</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8B3EBB">
        <w:rPr>
          <w:szCs w:val="28"/>
          <w:u w:val="single"/>
        </w:rPr>
        <w:t>педагогического образования</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B3EBB">
        <w:rPr>
          <w:szCs w:val="28"/>
        </w:rPr>
        <w:t>________от "___" __________ 2017</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8B3EBB">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8B3EBB" w:rsidRDefault="008B3EBB" w:rsidP="00C44B48">
            <w:pPr>
              <w:suppressAutoHyphens/>
              <w:jc w:val="both"/>
              <w:rPr>
                <w:sz w:val="24"/>
                <w:szCs w:val="24"/>
                <w:lang w:eastAsia="ru-RU"/>
              </w:rPr>
            </w:pPr>
            <w:r w:rsidRPr="008B3EBB">
              <w:rPr>
                <w:b/>
                <w:sz w:val="24"/>
                <w:szCs w:val="24"/>
              </w:rPr>
              <w:t>ОК-7</w:t>
            </w:r>
            <w:r w:rsidRPr="008B3EBB">
              <w:rPr>
                <w:sz w:val="24"/>
                <w:szCs w:val="24"/>
              </w:rPr>
              <w:t xml:space="preserve"> способность использовать базовые правовые знания в различных сферах деятельности</w:t>
            </w:r>
          </w:p>
        </w:tc>
        <w:tc>
          <w:tcPr>
            <w:tcW w:w="2524" w:type="pct"/>
          </w:tcPr>
          <w:p w:rsidR="0022065D" w:rsidRPr="00C44B48" w:rsidRDefault="0022065D" w:rsidP="00C44B48">
            <w:pPr>
              <w:pStyle w:val="ReportMain"/>
              <w:suppressAutoHyphens/>
              <w:jc w:val="both"/>
            </w:pPr>
            <w:r w:rsidRPr="00C44B48">
              <w:rPr>
                <w:b/>
                <w:u w:val="single"/>
              </w:rPr>
              <w:t>Знать:</w:t>
            </w:r>
          </w:p>
          <w:p w:rsidR="008B3EBB" w:rsidRDefault="008B3EBB" w:rsidP="008B3EBB">
            <w:pPr>
              <w:pStyle w:val="ReportMain"/>
              <w:suppressAutoHyphens/>
              <w:jc w:val="both"/>
            </w:pPr>
            <w:r w:rsidRPr="005F70FE">
              <w:t>теоретические основы государственного регулирования экономики в сфере образования и особенности экономической политики российского государства</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8B3EBB" w:rsidRDefault="008B3EBB" w:rsidP="008B3EBB">
            <w:pPr>
              <w:pStyle w:val="ReportMain"/>
              <w:suppressAutoHyphens/>
              <w:jc w:val="both"/>
            </w:pPr>
            <w:r w:rsidRPr="005F70FE">
              <w:t>использовать правовые нормы в профессиональной и общественной деятельности; выявлять проблемы экономического характера при анализе конкретных ситуаций в системе образования, предлагать способы их решения и оценивать ожидаемые результаты</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8B3EBB" w:rsidRDefault="008B3EBB" w:rsidP="00C44B48">
            <w:pPr>
              <w:suppressAutoHyphens/>
              <w:jc w:val="both"/>
              <w:rPr>
                <w:sz w:val="24"/>
                <w:szCs w:val="24"/>
                <w:lang w:eastAsia="ru-RU"/>
              </w:rPr>
            </w:pPr>
            <w:r w:rsidRPr="008B3EBB">
              <w:rPr>
                <w:sz w:val="24"/>
                <w:szCs w:val="24"/>
              </w:rPr>
              <w:t>навыками применения законодательства при решении практических задач и проблем экономики в сфере образования, видеть их многообразие и взаимосвязь с процессами, происходящими в обществе.</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34" w:rsidRDefault="009C6534" w:rsidP="00A27C4F">
      <w:r>
        <w:separator/>
      </w:r>
    </w:p>
  </w:endnote>
  <w:endnote w:type="continuationSeparator" w:id="0">
    <w:p w:rsidR="009C6534" w:rsidRDefault="009C6534"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9C6EC0">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34" w:rsidRDefault="009C6534" w:rsidP="00A27C4F">
      <w:r>
        <w:separator/>
      </w:r>
    </w:p>
  </w:footnote>
  <w:footnote w:type="continuationSeparator" w:id="0">
    <w:p w:rsidR="009C6534" w:rsidRDefault="009C6534"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65395"/>
    <w:rsid w:val="00796B92"/>
    <w:rsid w:val="007B600A"/>
    <w:rsid w:val="00814C8D"/>
    <w:rsid w:val="00857EE2"/>
    <w:rsid w:val="00863262"/>
    <w:rsid w:val="0089369A"/>
    <w:rsid w:val="008A5228"/>
    <w:rsid w:val="008B3EBB"/>
    <w:rsid w:val="008C13F8"/>
    <w:rsid w:val="00920CBF"/>
    <w:rsid w:val="00942181"/>
    <w:rsid w:val="00977249"/>
    <w:rsid w:val="00982B19"/>
    <w:rsid w:val="009861A5"/>
    <w:rsid w:val="00996194"/>
    <w:rsid w:val="009C6534"/>
    <w:rsid w:val="009C6EC0"/>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DF6D4D"/>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1E1D-87FF-4447-961D-5DC53030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13580</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58</cp:revision>
  <dcterms:created xsi:type="dcterms:W3CDTF">2016-10-03T06:55:00Z</dcterms:created>
  <dcterms:modified xsi:type="dcterms:W3CDTF">2005-12-31T21:24:00Z</dcterms:modified>
</cp:coreProperties>
</file>