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C46E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C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C46E0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C46E0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C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</w:t>
            </w:r>
            <w:r>
              <w:rPr>
                <w:rFonts w:ascii="Calibri" w:eastAsia="Times New Roman" w:hAnsi="Calibri"/>
              </w:rPr>
              <w:lastRenderedPageBreak/>
              <w:t>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.</w:t>
      </w:r>
    </w:p>
    <w:tbl>
      <w:tblPr>
        <w:tblpPr w:leftFromText="180" w:rightFromText="180" w:vertAnchor="text" w:horzAnchor="margin" w:tblpXSpec="center" w:tblpY="11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93A08" w:rsidTr="00B93A08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B93A08" w:rsidTr="00B93A08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</w:tr>
      <w:tr w:rsidR="00B93A08" w:rsidTr="00B93A08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333814" w:rsidRDefault="00333814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-выполнение эссе</w:t>
            </w:r>
          </w:p>
          <w:p w:rsidR="002B4003" w:rsidRDefault="002B4003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-подготовка сообщений</w:t>
            </w:r>
          </w:p>
          <w:p w:rsidR="002B4003" w:rsidRDefault="002B4003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-выполнение индивидуальных творческих заданий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коллоквиумам;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рубежному контролю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lastRenderedPageBreak/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lastRenderedPageBreak/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рактер. Это определяется впечатлением о внутренней структуре текста.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9F2D05">
        <w:rPr>
          <w:sz w:val="28"/>
          <w:szCs w:val="27"/>
          <w:shd w:val="clear" w:color="auto" w:fill="FEFEFE"/>
        </w:rPr>
        <w:lastRenderedPageBreak/>
        <w:t>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сивов имеет свои преимущества в эффективности обучения за счет активизации </w:t>
      </w:r>
      <w:r w:rsidR="00345519">
        <w:rPr>
          <w:sz w:val="27"/>
          <w:szCs w:val="27"/>
        </w:rPr>
        <w:lastRenderedPageBreak/>
        <w:t>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lastRenderedPageBreak/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lastRenderedPageBreak/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lastRenderedPageBreak/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0F76C4">
        <w:pPr>
          <w:pStyle w:val="a7"/>
          <w:jc w:val="center"/>
        </w:pPr>
        <w:fldSimple w:instr="PAGE   \* MERGEFORMAT">
          <w:r w:rsidR="004C46E0">
            <w:rPr>
              <w:noProof/>
            </w:rPr>
            <w:t>3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0F76C4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6E0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ED76-F8A8-4EAE-BB64-CEECB05A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28</Pages>
  <Words>8594</Words>
  <Characters>48986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68</cp:revision>
  <dcterms:created xsi:type="dcterms:W3CDTF">2016-10-09T16:26:00Z</dcterms:created>
  <dcterms:modified xsi:type="dcterms:W3CDTF">2019-11-15T21:59:00Z</dcterms:modified>
</cp:coreProperties>
</file>